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44"/>
          <w:szCs w:val="44"/>
          <w:lang w:eastAsia="zh-CN"/>
        </w:rPr>
      </w:pPr>
    </w:p>
    <w:p>
      <w:pPr>
        <w:jc w:val="both"/>
        <w:rPr>
          <w:rFonts w:hint="eastAsia"/>
          <w:sz w:val="44"/>
          <w:szCs w:val="44"/>
          <w:lang w:val="en-US" w:eastAsia="zh-CN"/>
        </w:rPr>
      </w:pPr>
      <w:r>
        <w:rPr>
          <w:rFonts w:hint="eastAsia"/>
          <w:sz w:val="44"/>
          <w:szCs w:val="44"/>
          <w:lang w:val="en-US" w:eastAsia="zh-CN"/>
        </w:rPr>
        <w:t xml:space="preserve">       </w:t>
      </w:r>
    </w:p>
    <w:p>
      <w:pPr>
        <w:jc w:val="both"/>
        <w:rPr>
          <w:rFonts w:hint="eastAsia"/>
          <w:sz w:val="44"/>
          <w:szCs w:val="44"/>
          <w:lang w:val="en-US" w:eastAsia="zh-CN"/>
        </w:rPr>
      </w:pPr>
    </w:p>
    <w:p>
      <w:pPr>
        <w:jc w:val="center"/>
        <w:rPr>
          <w:rFonts w:hint="eastAsia"/>
          <w:sz w:val="44"/>
          <w:szCs w:val="44"/>
          <w:lang w:val="en-US" w:eastAsia="zh-CN"/>
        </w:rPr>
      </w:pPr>
      <w:r>
        <w:rPr>
          <w:rFonts w:hint="eastAsia"/>
          <w:sz w:val="44"/>
          <w:szCs w:val="44"/>
          <w:lang w:val="en-US" w:eastAsia="zh-CN"/>
        </w:rPr>
        <w:t>正蓝旗长虹乳制品厂</w:t>
      </w:r>
    </w:p>
    <w:p>
      <w:pPr>
        <w:jc w:val="center"/>
        <w:rPr>
          <w:rFonts w:hint="eastAsia"/>
          <w:sz w:val="44"/>
          <w:szCs w:val="44"/>
          <w:lang w:eastAsia="zh-CN"/>
        </w:rPr>
      </w:pPr>
      <w:r>
        <w:rPr>
          <w:rFonts w:hint="eastAsia"/>
          <w:sz w:val="44"/>
          <w:szCs w:val="44"/>
          <w:lang w:eastAsia="zh-CN"/>
        </w:rPr>
        <w:t>企业质量信用报告</w:t>
      </w:r>
    </w:p>
    <w:p>
      <w:pPr>
        <w:jc w:val="both"/>
        <w:rPr>
          <w:rFonts w:hint="eastAsia" w:asciiTheme="minorHAnsi" w:hAnsiTheme="minorHAnsi" w:eastAsiaTheme="minorEastAsia" w:cstheme="minorBidi"/>
          <w:kern w:val="2"/>
          <w:sz w:val="44"/>
          <w:szCs w:val="44"/>
          <w:lang w:val="en-US" w:eastAsia="zh-CN" w:bidi="ar-SA"/>
        </w:rPr>
      </w:pPr>
    </w:p>
    <w:p>
      <w:pPr>
        <w:jc w:val="both"/>
        <w:rPr>
          <w:rFonts w:hint="eastAsia" w:asciiTheme="minorHAnsi" w:hAnsiTheme="minorHAnsi" w:eastAsiaTheme="minorEastAsia" w:cstheme="minorBidi"/>
          <w:kern w:val="2"/>
          <w:sz w:val="44"/>
          <w:szCs w:val="44"/>
          <w:lang w:val="en-US" w:eastAsia="zh-CN" w:bidi="ar-SA"/>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28"/>
          <w:szCs w:val="28"/>
          <w:lang w:val="en-US" w:eastAsia="zh-CN"/>
        </w:rPr>
      </w:pPr>
    </w:p>
    <w:p>
      <w:pPr>
        <w:jc w:val="both"/>
        <w:rPr>
          <w:rFonts w:hint="eastAsia" w:ascii="宋体" w:hAnsi="宋体" w:eastAsia="宋体" w:cs="宋体"/>
          <w:sz w:val="36"/>
          <w:szCs w:val="36"/>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 xml:space="preserve">                   </w:t>
      </w:r>
      <w:r>
        <w:rPr>
          <w:rFonts w:hint="eastAsia" w:ascii="宋体" w:hAnsi="宋体" w:eastAsia="宋体" w:cs="宋体"/>
          <w:sz w:val="36"/>
          <w:szCs w:val="36"/>
          <w:lang w:val="en-US" w:eastAsia="zh-CN"/>
        </w:rPr>
        <w:t>2017年9月17日</w:t>
      </w:r>
    </w:p>
    <w:p>
      <w:pPr>
        <w:tabs>
          <w:tab w:val="left" w:pos="3482"/>
          <w:tab w:val="center" w:pos="4153"/>
        </w:tabs>
        <w:jc w:val="both"/>
        <w:rPr>
          <w:rFonts w:hint="eastAsia" w:ascii="宋体" w:hAnsi="宋体" w:eastAsia="宋体" w:cs="宋体"/>
          <w:sz w:val="24"/>
          <w:szCs w:val="24"/>
          <w:lang w:val="en-US" w:eastAsia="zh-CN"/>
        </w:rPr>
      </w:pPr>
      <w:r>
        <w:rPr>
          <w:rFonts w:hint="eastAsia" w:ascii="宋体" w:hAnsi="宋体" w:eastAsia="宋体" w:cs="宋体"/>
          <w:sz w:val="28"/>
          <w:szCs w:val="28"/>
          <w:lang w:val="en-US" w:eastAsia="zh-CN"/>
        </w:rPr>
        <w:tab/>
      </w:r>
      <w:r>
        <w:rPr>
          <w:rFonts w:hint="eastAsia" w:ascii="宋体" w:hAnsi="宋体" w:eastAsia="宋体" w:cs="宋体"/>
          <w:sz w:val="24"/>
          <w:szCs w:val="24"/>
          <w:lang w:val="en-US" w:eastAsia="zh-CN"/>
        </w:rPr>
        <w:t>目录</w:t>
      </w:r>
      <w:r>
        <w:rPr>
          <w:rFonts w:hint="eastAsia" w:ascii="宋体" w:hAnsi="宋体" w:eastAsia="宋体" w:cs="宋体"/>
          <w:sz w:val="24"/>
          <w:szCs w:val="24"/>
          <w:lang w:val="en-US" w:eastAsia="zh-CN"/>
        </w:rPr>
        <w:tab/>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_Toc27089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一、前言</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_Toc27089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_Toc2120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1报告编制说明</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_Toc2120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_Toc24733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1.1报告内容客观性声明</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_Toc24733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_Toc30749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1.2报告组织范围</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_Toc30749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_Toc23825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1.3报告时间范围</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_Toc23825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_Toc17673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1.4报告发布周期</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_Toc17673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_Toc15642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1.5报告数据说明</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_Toc15642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_Toc10156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1.6报告获取方式</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_Toc10156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_Toc1942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2董事长致辞</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_Toc1942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_Toc294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0"/>
          <w:sz w:val="24"/>
          <w:szCs w:val="24"/>
          <w:lang w:val="en-US" w:eastAsia="zh-CN" w:bidi="ar-SA"/>
        </w:rPr>
        <w:t>3企业简介</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_Toc8185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二、质量信用报告</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4</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_Toc23207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1企业质量理念</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4</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_Toc30741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2企业质量管理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5</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_Toc16019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2.1企业质量管理机构</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5</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_Toc14642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2.2质量管理体系</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6</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_Toc8125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2.3质量安全风险管理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6</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_Toc26328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3质量诚信管理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7</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_Toc26500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3.1质量诚信管理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7</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_Toc20729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3.2质量承诺</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7</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_Toc18908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3.3运作管理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8</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_Toc6240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color w:val="000000"/>
          <w:kern w:val="2"/>
          <w:sz w:val="24"/>
          <w:szCs w:val="24"/>
          <w:lang w:val="en-US" w:eastAsia="zh-CN" w:bidi="ar-SA"/>
        </w:rPr>
        <w:t>3.4营销管理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8</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_Toc24456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4质量管理基础</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9</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_Toc14568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4.1标准管理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9</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_Toc21326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4.2计量管理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10</w:t>
      </w:r>
      <w:r>
        <w:rPr>
          <w:rFonts w:hint="eastAsia" w:ascii="宋体" w:hAnsi="宋体" w:eastAsia="宋体" w:cs="宋体"/>
          <w:kern w:val="2"/>
          <w:sz w:val="24"/>
          <w:szCs w:val="24"/>
          <w:lang w:val="en-US" w:eastAsia="zh-CN" w:bidi="ar-SA"/>
        </w:rPr>
        <w:fldChar w:fldCharType="end"/>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_Toc25783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color w:val="000000"/>
          <w:kern w:val="2"/>
          <w:sz w:val="24"/>
          <w:szCs w:val="24"/>
          <w:lang w:val="en-US" w:eastAsia="zh-CN" w:bidi="ar-SA"/>
        </w:rPr>
        <w:t>4.3认证管理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0</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_Toc21022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4.4检验检测管理</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6</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_Toc6835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5产品质量责任</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6</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_Toc28036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5.1产品质量水平</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6</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_Toc4757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5.2产品售后责任</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6</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_Toc14378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color w:val="000000" w:themeColor="text1"/>
          <w:kern w:val="2"/>
          <w:sz w:val="24"/>
          <w:szCs w:val="24"/>
          <w:lang w:val="en-US" w:eastAsia="zh-CN" w:bidi="ar-SA"/>
          <w14:textFill>
            <w14:solidFill>
              <w14:schemeClr w14:val="tx1"/>
            </w14:solidFill>
          </w14:textFill>
        </w:rPr>
        <w:t xml:space="preserve">5.3企业社会责任 </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7</w:t>
      </w:r>
    </w:p>
    <w:p>
      <w:pPr>
        <w:pStyle w:val="9"/>
        <w:tabs>
          <w:tab w:val="right" w:leader="dot" w:pos="8306"/>
        </w:tabs>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_Toc13447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color w:val="000000"/>
          <w:kern w:val="2"/>
          <w:sz w:val="24"/>
          <w:szCs w:val="24"/>
          <w:lang w:val="en-US" w:eastAsia="zh-CN" w:bidi="ar-SA"/>
        </w:rPr>
        <w:t>5.4质量信用记录</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7</w:t>
      </w:r>
    </w:p>
    <w:p>
      <w:pPr>
        <w:pStyle w:val="9"/>
        <w:tabs>
          <w:tab w:val="right" w:leader="dot" w:pos="8306"/>
        </w:tabs>
        <w:jc w:val="both"/>
        <w:rPr>
          <w:rFonts w:asciiTheme="minorHAnsi" w:hAnsiTheme="minorHAnsi" w:eastAsiaTheme="minorEastAsia" w:cstheme="minorBidi"/>
          <w:kern w:val="2"/>
          <w:szCs w:val="24"/>
          <w:lang w:val="en-US" w:eastAsia="zh-CN" w:bidi="ar-SA"/>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_Toc7831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bCs w:val="0"/>
          <w:kern w:val="2"/>
          <w:sz w:val="24"/>
          <w:szCs w:val="24"/>
          <w:lang w:val="en-US" w:eastAsia="zh-CN" w:bidi="ar-SA"/>
        </w:rPr>
        <w:t>三、报告结语</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8</w:t>
      </w:r>
    </w:p>
    <w:p>
      <w:pPr>
        <w:tabs>
          <w:tab w:val="left" w:pos="3482"/>
          <w:tab w:val="center" w:pos="4153"/>
        </w:tabs>
        <w:jc w:val="both"/>
        <w:rPr>
          <w:rFonts w:hint="eastAsia" w:ascii="宋体" w:hAnsi="宋体" w:eastAsia="宋体" w:cs="宋体"/>
          <w:sz w:val="28"/>
          <w:szCs w:val="28"/>
          <w:lang w:val="en-US" w:eastAsia="zh-CN"/>
        </w:rPr>
      </w:pPr>
      <w:r>
        <w:rPr>
          <w:rFonts w:hint="eastAsia" w:ascii="宋体" w:hAnsi="宋体" w:eastAsia="宋体" w:cs="宋体"/>
          <w:kern w:val="2"/>
          <w:szCs w:val="28"/>
          <w:lang w:val="en-US" w:eastAsia="zh-CN" w:bidi="ar-SA"/>
        </w:rPr>
        <w:fldChar w:fldCharType="end"/>
      </w:r>
    </w:p>
    <w:p>
      <w:pPr>
        <w:tabs>
          <w:tab w:val="left" w:pos="3482"/>
          <w:tab w:val="center" w:pos="4153"/>
        </w:tabs>
        <w:jc w:val="both"/>
        <w:rPr>
          <w:rFonts w:hint="eastAsia" w:ascii="宋体" w:hAnsi="宋体" w:eastAsia="宋体" w:cs="宋体"/>
          <w:sz w:val="28"/>
          <w:szCs w:val="28"/>
          <w:lang w:val="en-US" w:eastAsia="zh-CN"/>
        </w:rPr>
      </w:pPr>
    </w:p>
    <w:p>
      <w:pPr>
        <w:tabs>
          <w:tab w:val="left" w:pos="3482"/>
          <w:tab w:val="center" w:pos="4153"/>
        </w:tabs>
        <w:jc w:val="both"/>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p>
    <w:p>
      <w:pPr>
        <w:numPr>
          <w:ilvl w:val="0"/>
          <w:numId w:val="0"/>
        </w:numPr>
        <w:jc w:val="both"/>
        <w:outlineLvl w:val="0"/>
        <w:rPr>
          <w:rFonts w:hint="eastAsia" w:ascii="宋体" w:hAnsi="宋体" w:eastAsia="宋体" w:cs="宋体"/>
          <w:sz w:val="28"/>
          <w:szCs w:val="28"/>
          <w:lang w:val="en-US" w:eastAsia="zh-CN"/>
        </w:rPr>
      </w:pPr>
      <w:bookmarkStart w:id="0" w:name="_Toc27089"/>
      <w:r>
        <w:rPr>
          <w:rFonts w:hint="eastAsia" w:ascii="宋体" w:hAnsi="宋体" w:eastAsia="宋体" w:cs="宋体"/>
          <w:sz w:val="28"/>
          <w:szCs w:val="28"/>
          <w:lang w:val="en-US" w:eastAsia="zh-CN"/>
        </w:rPr>
        <w:t>一、前言</w:t>
      </w:r>
      <w:bookmarkEnd w:id="0"/>
    </w:p>
    <w:p>
      <w:pPr>
        <w:numPr>
          <w:ilvl w:val="0"/>
          <w:numId w:val="0"/>
        </w:numPr>
        <w:jc w:val="both"/>
        <w:outlineLvl w:val="0"/>
        <w:rPr>
          <w:rFonts w:hint="eastAsia" w:ascii="宋体" w:hAnsi="宋体" w:eastAsia="宋体" w:cs="宋体"/>
          <w:sz w:val="28"/>
          <w:szCs w:val="28"/>
          <w:lang w:val="en-US" w:eastAsia="zh-CN"/>
        </w:rPr>
      </w:pPr>
      <w:bookmarkStart w:id="1" w:name="_Toc2120"/>
      <w:r>
        <w:rPr>
          <w:rFonts w:hint="eastAsia" w:ascii="宋体" w:hAnsi="宋体" w:eastAsia="宋体" w:cs="宋体"/>
          <w:sz w:val="28"/>
          <w:szCs w:val="28"/>
          <w:lang w:val="en-US" w:eastAsia="zh-CN"/>
        </w:rPr>
        <w:t>1报告编制说明</w:t>
      </w:r>
      <w:bookmarkEnd w:id="1"/>
    </w:p>
    <w:p>
      <w:pPr>
        <w:numPr>
          <w:ilvl w:val="0"/>
          <w:numId w:val="0"/>
        </w:numPr>
        <w:jc w:val="both"/>
        <w:outlineLvl w:val="0"/>
        <w:rPr>
          <w:rFonts w:hint="eastAsia" w:ascii="宋体" w:hAnsi="宋体" w:eastAsia="宋体" w:cs="宋体"/>
          <w:color w:val="auto"/>
          <w:kern w:val="0"/>
          <w:sz w:val="28"/>
          <w:szCs w:val="28"/>
          <w:lang w:val="zh-CN"/>
        </w:rPr>
      </w:pPr>
      <w:bookmarkStart w:id="2" w:name="_Toc24733"/>
      <w:bookmarkStart w:id="3" w:name="_Toc27088"/>
      <w:r>
        <w:rPr>
          <w:rFonts w:hint="eastAsia" w:ascii="宋体" w:hAnsi="宋体" w:eastAsia="宋体" w:cs="宋体"/>
          <w:sz w:val="28"/>
          <w:szCs w:val="28"/>
          <w:lang w:val="en-US" w:eastAsia="zh-CN"/>
        </w:rPr>
        <w:t>1.1报告内容客观性声明：《正蓝旗长虹乳制品厂企业质量信用报告》是本着客观、公正的态度进行编写，报告内容真实有效，符合企业实际情况，报告包括了</w:t>
      </w:r>
      <w:r>
        <w:rPr>
          <w:rFonts w:hint="eastAsia" w:ascii="宋体" w:hAnsi="宋体" w:eastAsia="宋体" w:cs="宋体"/>
          <w:color w:val="auto"/>
          <w:kern w:val="0"/>
          <w:sz w:val="28"/>
          <w:szCs w:val="28"/>
          <w:lang w:val="zh-CN"/>
        </w:rPr>
        <w:t>企业质量理念、企业质量管理、质量诚信管理、质量管理基础、产品质量责任等方面内容，定期公布，以接收社会的监督。</w:t>
      </w:r>
      <w:bookmarkEnd w:id="2"/>
      <w:bookmarkEnd w:id="3"/>
    </w:p>
    <w:p>
      <w:pPr>
        <w:numPr>
          <w:ilvl w:val="0"/>
          <w:numId w:val="0"/>
        </w:numPr>
        <w:jc w:val="both"/>
        <w:outlineLvl w:val="0"/>
        <w:rPr>
          <w:rFonts w:hint="eastAsia" w:ascii="宋体" w:hAnsi="宋体" w:eastAsia="宋体" w:cs="宋体"/>
          <w:color w:val="auto"/>
          <w:kern w:val="0"/>
          <w:sz w:val="28"/>
          <w:szCs w:val="28"/>
          <w:lang w:val="en-US" w:eastAsia="zh-CN"/>
        </w:rPr>
      </w:pPr>
      <w:bookmarkStart w:id="4" w:name="_Toc30749"/>
      <w:r>
        <w:rPr>
          <w:rFonts w:hint="eastAsia" w:ascii="宋体" w:hAnsi="宋体" w:eastAsia="宋体" w:cs="宋体"/>
          <w:color w:val="auto"/>
          <w:kern w:val="0"/>
          <w:sz w:val="28"/>
          <w:szCs w:val="28"/>
          <w:lang w:val="en-US" w:eastAsia="zh-CN"/>
        </w:rPr>
        <w:t>1.2报告组织范围：内蒙古正蓝旗长虹乳制品厂。</w:t>
      </w:r>
      <w:bookmarkEnd w:id="4"/>
    </w:p>
    <w:p>
      <w:pPr>
        <w:numPr>
          <w:ilvl w:val="0"/>
          <w:numId w:val="0"/>
        </w:numPr>
        <w:jc w:val="both"/>
        <w:outlineLvl w:val="0"/>
        <w:rPr>
          <w:rFonts w:hint="eastAsia" w:ascii="宋体" w:hAnsi="宋体" w:eastAsia="宋体" w:cs="宋体"/>
          <w:color w:val="auto"/>
          <w:kern w:val="0"/>
          <w:sz w:val="28"/>
          <w:szCs w:val="28"/>
          <w:lang w:val="en-US" w:eastAsia="zh-CN"/>
        </w:rPr>
      </w:pPr>
      <w:bookmarkStart w:id="5" w:name="_Toc23825"/>
      <w:r>
        <w:rPr>
          <w:rFonts w:hint="eastAsia" w:ascii="宋体" w:hAnsi="宋体" w:eastAsia="宋体" w:cs="宋体"/>
          <w:color w:val="auto"/>
          <w:kern w:val="0"/>
          <w:sz w:val="28"/>
          <w:szCs w:val="28"/>
          <w:lang w:val="en-US" w:eastAsia="zh-CN"/>
        </w:rPr>
        <w:t>1.3报告时间范围：2017年9月17日。</w:t>
      </w:r>
      <w:bookmarkEnd w:id="5"/>
    </w:p>
    <w:p>
      <w:pPr>
        <w:numPr>
          <w:ilvl w:val="0"/>
          <w:numId w:val="0"/>
        </w:numPr>
        <w:jc w:val="both"/>
        <w:outlineLvl w:val="0"/>
        <w:rPr>
          <w:rFonts w:hint="eastAsia" w:ascii="宋体" w:hAnsi="宋体" w:eastAsia="宋体" w:cs="宋体"/>
          <w:color w:val="auto"/>
          <w:kern w:val="0"/>
          <w:sz w:val="28"/>
          <w:szCs w:val="28"/>
          <w:lang w:val="en-US" w:eastAsia="zh-CN"/>
        </w:rPr>
      </w:pPr>
      <w:bookmarkStart w:id="6" w:name="_Toc17673"/>
      <w:r>
        <w:rPr>
          <w:rFonts w:hint="eastAsia" w:ascii="宋体" w:hAnsi="宋体" w:eastAsia="宋体" w:cs="宋体"/>
          <w:color w:val="auto"/>
          <w:kern w:val="0"/>
          <w:sz w:val="28"/>
          <w:szCs w:val="28"/>
          <w:lang w:val="en-US" w:eastAsia="zh-CN"/>
        </w:rPr>
        <w:t>1.4报告发布周期：本报告为年度报告。</w:t>
      </w:r>
      <w:bookmarkEnd w:id="6"/>
    </w:p>
    <w:p>
      <w:pPr>
        <w:numPr>
          <w:ilvl w:val="0"/>
          <w:numId w:val="0"/>
        </w:numPr>
        <w:jc w:val="both"/>
        <w:outlineLvl w:val="0"/>
        <w:rPr>
          <w:rFonts w:hint="eastAsia" w:ascii="宋体" w:hAnsi="宋体" w:eastAsia="宋体" w:cs="宋体"/>
          <w:color w:val="auto"/>
          <w:kern w:val="0"/>
          <w:sz w:val="28"/>
          <w:szCs w:val="28"/>
          <w:lang w:val="en-US" w:eastAsia="zh-CN"/>
        </w:rPr>
      </w:pPr>
      <w:bookmarkStart w:id="7" w:name="_Toc15642"/>
      <w:r>
        <w:rPr>
          <w:rFonts w:hint="eastAsia" w:ascii="宋体" w:hAnsi="宋体" w:eastAsia="宋体" w:cs="宋体"/>
          <w:color w:val="auto"/>
          <w:kern w:val="0"/>
          <w:sz w:val="28"/>
          <w:szCs w:val="28"/>
          <w:lang w:val="en-US" w:eastAsia="zh-CN"/>
        </w:rPr>
        <w:t>1.5报告数据说明：本报告所有数据均来自公司实际情况或数据。</w:t>
      </w:r>
      <w:bookmarkEnd w:id="7"/>
    </w:p>
    <w:p>
      <w:pPr>
        <w:numPr>
          <w:ilvl w:val="0"/>
          <w:numId w:val="0"/>
        </w:numPr>
        <w:jc w:val="both"/>
        <w:outlineLvl w:val="0"/>
        <w:rPr>
          <w:rFonts w:hint="eastAsia" w:ascii="宋体" w:hAnsi="宋体" w:eastAsia="宋体" w:cs="宋体"/>
          <w:color w:val="auto"/>
          <w:kern w:val="0"/>
          <w:sz w:val="28"/>
          <w:szCs w:val="28"/>
          <w:lang w:val="en-US" w:eastAsia="zh-CN"/>
        </w:rPr>
      </w:pPr>
      <w:bookmarkStart w:id="8" w:name="_Toc10156"/>
      <w:r>
        <w:rPr>
          <w:rFonts w:hint="eastAsia" w:ascii="宋体" w:hAnsi="宋体" w:eastAsia="宋体" w:cs="宋体"/>
          <w:color w:val="auto"/>
          <w:kern w:val="0"/>
          <w:sz w:val="28"/>
          <w:szCs w:val="28"/>
          <w:lang w:val="en-US" w:eastAsia="zh-CN"/>
        </w:rPr>
        <w:t>1.6报告获取方式：本报告以网络版形式发布，可在我公司网站获取。</w:t>
      </w:r>
      <w:bookmarkEnd w:id="8"/>
    </w:p>
    <w:p>
      <w:pPr>
        <w:numPr>
          <w:ilvl w:val="0"/>
          <w:numId w:val="0"/>
        </w:numPr>
        <w:jc w:val="both"/>
        <w:outlineLvl w:val="0"/>
        <w:rPr>
          <w:rFonts w:hint="eastAsia" w:ascii="宋体" w:hAnsi="宋体" w:eastAsia="宋体" w:cs="宋体"/>
          <w:color w:val="auto"/>
          <w:kern w:val="0"/>
          <w:sz w:val="28"/>
          <w:szCs w:val="28"/>
          <w:lang w:val="en-US" w:eastAsia="zh-CN"/>
        </w:rPr>
      </w:pPr>
      <w:bookmarkStart w:id="9" w:name="_Toc1942"/>
      <w:r>
        <w:rPr>
          <w:rFonts w:hint="eastAsia" w:ascii="宋体" w:hAnsi="宋体" w:eastAsia="宋体" w:cs="宋体"/>
          <w:color w:val="auto"/>
          <w:kern w:val="0"/>
          <w:sz w:val="28"/>
          <w:szCs w:val="28"/>
          <w:lang w:val="en-US" w:eastAsia="zh-CN"/>
        </w:rPr>
        <w:t>2董事长致辞</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家企业要成为百年名企，就必须注重全面质量管理。基于行业发展和专业化战略，长虹高层领导团队高瞻远瞩，从2015年就开始导入“卓越绩效模式”，确立了长虹的愿景、使命、价值观，以及长短期发展方向。形成强大的文化凝聚力和领导牵引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多年来，长虹持续改进，建立了完善的质量管理体系，做到“一点三全”：确定一个明确的长、中、短期质量目标计划，实施全过程、全要素、全员的达标控制;采用信息化集成管理，适时分解、跟踪顾客反馈的质量问题，实施持续改进，在整个企业范围内推行了 “5S现场管理”、“企业内部市场链体系”、“员工合理化建议箱”等质量改进活动。2016年企业再接再厉，一举通过ISO9001质量管理体系和GB/T22000食品安全管理体系审查并获得认证证书。企业正是由于注重全面质量管理，才能够各项经营指标不断提升，成为正蓝旗同行业中效益最好，发展最快、最稳健的企业之一，才能够获得内蒙古自治区著名商标、锡林郭勒盟知名商标、锡林郭勒盟消费者协会诚信单位、正蓝旗技术改造先进单位等荣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质量工作只有起点，没有终点，质量管理创新永无止境。我们将继续积极探索，勇于创新，打造乳业强企，为正蓝旗地方经济建设做出更大的贡献。</w:t>
      </w:r>
    </w:p>
    <w:p>
      <w:pPr>
        <w:numPr>
          <w:ilvl w:val="0"/>
          <w:numId w:val="0"/>
        </w:numPr>
        <w:jc w:val="both"/>
        <w:outlineLvl w:val="0"/>
        <w:rPr>
          <w:rFonts w:hint="eastAsia" w:ascii="宋体" w:hAnsi="宋体" w:eastAsia="宋体" w:cs="宋体"/>
          <w:sz w:val="28"/>
          <w:szCs w:val="28"/>
          <w:lang w:eastAsia="zh-CN"/>
        </w:rPr>
      </w:pPr>
      <w:bookmarkStart w:id="10" w:name="_Toc294"/>
      <w:r>
        <w:rPr>
          <w:rFonts w:hint="eastAsia" w:ascii="宋体" w:hAnsi="宋体" w:eastAsia="宋体" w:cs="宋体"/>
          <w:color w:val="auto"/>
          <w:kern w:val="0"/>
          <w:sz w:val="28"/>
          <w:szCs w:val="28"/>
          <w:lang w:val="en-US" w:eastAsia="zh-CN"/>
        </w:rPr>
        <w:t>3企业简介</w:t>
      </w:r>
      <w:bookmarkEnd w:id="10"/>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正蓝旗长虹乳制品厂始建于1954年，位于内蒙古锡林郭勒草原的正蓝旗上都镇，1998年转制为自然人独资企业。在长虹60多年的发展历程中，企业始终坚持“传承、弘扬民族传统文化，为消费者提供安全健康食品”的经营理念，本着“互相促进、共同发展、达到双赢”的商业准则，形成了“创新、主动、认真、合作、效率”的企业文化。长虹人将“沿着祖先丝绸之路的足迹让民族食品走向世界”为目标而奋斗。</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正蓝旗长虹乳制品厂厂区占地面积20000平米，建筑面积10000平米，总资产 1800 万元，现有职工85人，其中：外聘专业管理人员和高级顾问5人、专科以上学历15人，下岗职工15人，农牧区进城务工人员50人。正蓝旗长虹乳制品厂拥有合作牧场、鲜乳制（奶酪、奶皮子、奶豆腐、奶油）车间、特色糖果车间、休闲奶食品（乳粉制产品）车间、固体饮料（奶茶）车间和检验中心，先进的生产、检验设备和加工技术保持行业领先地位。四大类近二百个单品深受消费者青睐。</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2014年7月28日，通过国家质量检验检疫总局审核获准使用地理标识保护专用标志企业；2014年获得自治区著名商标、锡林郭勒盟知名商标、锡林郭勒盟消费者协会诚信单位、全区示范化企业工会、民族旅游产品示范企业、锡盟扶困助学单位、正蓝旗技术改造先进单位等殊荣；2016年，企业再接再厉，一举通过ISO9001质量管理体系和GB/T22000食品安全管理体系审查并获得认证证书。</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正蓝旗长虹乳制品厂本着品牌效应和细分市场的核心理念，形成以“长虹”为母品牌，“上都河”、“老蓝旗”、“蒙八旗”、“元都牧场”为子品牌的多品牌战略体系。</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2015年7月动工改扩建传统奶豆腐、奶酪深加工项目，新建面积4300平方米，库房1500平方米，硬化地面7000多平方米，改建厂房4000多平方米，2017年7月投入运行，力争成为农牧业产业化龙头企业。                       </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我厂从2000年至今一直与内蒙古农业大学食品科学与工程学院、锡盟职业学院等科研院校在科研、技术推广、生产等方面保持着密切联系，将科研成果转化为生产力，并为企业产品研发以及产品的质量提供技术保障。2010年，企业引进意大利奶酪生产技术和设备，结合国内消费者营养需求和喜好，不断突破创新，已经实现意式奶酪本土化的完美转型。新开发上市的：披萨奶酪、萨拉球形奶酪、民族特色糖果、特色奶豆腐、奶皮子及乳清液综合应用的相关产品近30多种，该类产品因极具营养性、便捷性、适口性等特点深受广大消费者青睐，取得了良好的成果。</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在新的市场环境下，企业与时俱进，积极拓展新模式，于2015年在河北省张家口市成立正蓝旗长虹乳制品厂电子商务事业部，从根本上解决了快递物流的相对滞后问题，为消费者提供更为便捷、快速的服务体系。</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2015年于利川饲料联合在乌兰嘎查、伊和塔拉建设2个标准化牧场已投入运营。</w:t>
      </w:r>
    </w:p>
    <w:p>
      <w:pPr>
        <w:ind w:firstLine="560" w:firstLineChars="200"/>
        <w:jc w:val="both"/>
        <w:rPr>
          <w:rFonts w:hint="eastAsia" w:ascii="宋体" w:hAnsi="宋体" w:eastAsia="宋体" w:cs="宋体"/>
          <w:sz w:val="28"/>
          <w:szCs w:val="28"/>
        </w:rPr>
      </w:pPr>
      <w:r>
        <w:rPr>
          <w:rFonts w:hint="eastAsia" w:ascii="宋体" w:hAnsi="宋体" w:eastAsia="宋体" w:cs="宋体"/>
          <w:b w:val="0"/>
          <w:bCs w:val="0"/>
          <w:sz w:val="28"/>
          <w:szCs w:val="28"/>
          <w:lang w:val="en-US" w:eastAsia="zh-CN"/>
        </w:rPr>
        <w:t>我们以弘扬传统文化、提供健康食品为使命，对外与所有的合作伙伴友好相处、合作共羸；对内公司团结奋进、创新发展。我们感谢锡林郭勒大草原赐予我们新鲜的空气和水，感谢祖国给我们和平安定的环境，感谢领导给予我们的关怀与支持，感谢上苍给予我们传承、弘扬传统奶食品行业的机遇和这里朴实勤劳的人们……长虹人必将开拓进取、创新务实，稳健发展，积极为地方的经济发展、就业做出努力，通过资源整合实现社会责任的担当。</w:t>
      </w:r>
      <w:r>
        <w:rPr>
          <w:rFonts w:hint="eastAsia" w:ascii="宋体" w:hAnsi="宋体" w:eastAsia="宋体" w:cs="宋体"/>
          <w:sz w:val="28"/>
          <w:szCs w:val="28"/>
          <w:lang w:val="en-US" w:eastAsia="zh-CN"/>
        </w:rPr>
        <w:t xml:space="preserve">   </w:t>
      </w:r>
    </w:p>
    <w:p>
      <w:pPr>
        <w:jc w:val="both"/>
        <w:outlineLvl w:val="0"/>
        <w:rPr>
          <w:rFonts w:hint="eastAsia" w:ascii="宋体" w:hAnsi="宋体" w:eastAsia="宋体" w:cs="宋体"/>
          <w:sz w:val="28"/>
          <w:szCs w:val="28"/>
          <w:lang w:eastAsia="zh-CN"/>
        </w:rPr>
      </w:pPr>
      <w:bookmarkStart w:id="11" w:name="_Toc8185"/>
      <w:r>
        <w:rPr>
          <w:rFonts w:hint="eastAsia" w:ascii="宋体" w:hAnsi="宋体" w:eastAsia="宋体" w:cs="宋体"/>
          <w:sz w:val="28"/>
          <w:szCs w:val="28"/>
          <w:lang w:eastAsia="zh-CN"/>
        </w:rPr>
        <w:t>二、质量信用报告</w:t>
      </w:r>
      <w:bookmarkEnd w:id="11"/>
    </w:p>
    <w:p>
      <w:pPr>
        <w:jc w:val="both"/>
        <w:outlineLvl w:val="0"/>
        <w:rPr>
          <w:rFonts w:hint="eastAsia" w:ascii="宋体" w:hAnsi="宋体" w:eastAsia="宋体" w:cs="宋体"/>
          <w:sz w:val="28"/>
          <w:szCs w:val="28"/>
          <w:lang w:val="en-US" w:eastAsia="zh-CN"/>
        </w:rPr>
      </w:pPr>
      <w:bookmarkStart w:id="12" w:name="_Toc23207"/>
      <w:r>
        <w:rPr>
          <w:rFonts w:hint="eastAsia" w:ascii="宋体" w:hAnsi="宋体" w:eastAsia="宋体" w:cs="宋体"/>
          <w:sz w:val="28"/>
          <w:szCs w:val="28"/>
          <w:lang w:val="en-US" w:eastAsia="zh-CN"/>
        </w:rPr>
        <w:t>1企业质量理念</w:t>
      </w:r>
      <w:bookmarkEnd w:id="12"/>
    </w:p>
    <w:p>
      <w:pPr>
        <w:numPr>
          <w:ilvl w:val="0"/>
          <w:numId w:val="0"/>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为了向乳制品行业龙头发展，我们提出了“产品折射人品、质量视同生命、注重技术革新、赢取良好口碑”的质量理念，时刻关注顾客需求，以满足和超越顾客期望为最终目标。企业要在激烈的竞争中站稳脚跟，最重要的武器就是产品质量。长虹乳制品厂视品质为生命，严格把控产品质量关，从原材料的采购到加工生产，每个环节都一丝不苟。生产高品质的乳制品，让消费者满意，让社会放心是我厂一直坚持信念和方向。企业的发展离不开社会的支持，我们在企业发展的过程中，时刻以支持社会公益事业为己任，生产和销售机构均与当地建立了良好的发展关系。</w:t>
      </w:r>
    </w:p>
    <w:p>
      <w:pPr>
        <w:numPr>
          <w:ilvl w:val="0"/>
          <w:numId w:val="0"/>
        </w:numPr>
        <w:spacing w:line="360" w:lineRule="auto"/>
        <w:jc w:val="both"/>
        <w:outlineLvl w:val="0"/>
        <w:rPr>
          <w:rFonts w:hint="eastAsia" w:ascii="宋体" w:hAnsi="宋体" w:eastAsia="宋体" w:cs="宋体"/>
          <w:sz w:val="28"/>
          <w:szCs w:val="28"/>
          <w:lang w:val="en-US" w:eastAsia="zh-CN"/>
        </w:rPr>
      </w:pPr>
      <w:bookmarkStart w:id="13" w:name="_Toc30741"/>
      <w:r>
        <w:rPr>
          <w:rFonts w:hint="eastAsia" w:ascii="宋体" w:hAnsi="宋体" w:eastAsia="宋体" w:cs="宋体"/>
          <w:sz w:val="28"/>
          <w:szCs w:val="28"/>
          <w:lang w:val="en-US" w:eastAsia="zh-CN"/>
        </w:rPr>
        <w:t>2企业质量管理</w:t>
      </w:r>
      <w:bookmarkEnd w:id="13"/>
    </w:p>
    <w:p>
      <w:pPr>
        <w:numPr>
          <w:ilvl w:val="0"/>
          <w:numId w:val="0"/>
        </w:numPr>
        <w:spacing w:line="360" w:lineRule="auto"/>
        <w:jc w:val="both"/>
        <w:outlineLvl w:val="0"/>
        <w:rPr>
          <w:rFonts w:hint="eastAsia" w:ascii="宋体" w:hAnsi="宋体" w:eastAsia="宋体" w:cs="宋体"/>
          <w:sz w:val="28"/>
          <w:szCs w:val="28"/>
          <w:lang w:val="en-US" w:eastAsia="zh-CN"/>
        </w:rPr>
      </w:pPr>
      <w:bookmarkStart w:id="14" w:name="_Toc16019"/>
      <w:r>
        <w:rPr>
          <w:rFonts w:hint="eastAsia" w:ascii="宋体" w:hAnsi="宋体" w:eastAsia="宋体" w:cs="宋体"/>
          <w:sz w:val="28"/>
          <w:szCs w:val="28"/>
          <w:lang w:val="en-US" w:eastAsia="zh-CN"/>
        </w:rPr>
        <w:t>2.1企业质量管理机构</w:t>
      </w:r>
      <w:bookmarkEnd w:id="14"/>
    </w:p>
    <w:p>
      <w:pPr>
        <w:numPr>
          <w:ilvl w:val="0"/>
          <w:numId w:val="0"/>
        </w:numPr>
        <w:spacing w:line="360" w:lineRule="auto"/>
        <w:ind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厂质量管理组织机构由董事长领导，总经理主要负责，下设综合办、质量部、生产部、销售部、财务部。质量部负责产品的产品检验和质量的把关。我厂的领导，在强调对基层的管理、考核职能的同时，更强调对基层的服务职能。不仅对员工进行考核和评估，更多的精力是放在员工培训和为基层管理者提供咨询等服务职能上。以我们的品控检验部门为例，就遵循“过程与结果相结合、考核与服务相结合、例行与专项相结合、处罚与奖励相结合”的原则，在对基层进行质量和生产评估的同时，很好的体现对基层的服务职能。我们不仅对员工进行业务、技能培训，还进行国家法律、法规的培训，为员工创造学法和守法的良好环境为了提高我厂人员的综合素质。2016年，企业累计开展各类培训近400课时，累计参训人数近900人次。</w:t>
      </w:r>
    </w:p>
    <w:p>
      <w:pPr>
        <w:numPr>
          <w:ilvl w:val="0"/>
          <w:numId w:val="0"/>
        </w:numPr>
        <w:spacing w:line="360" w:lineRule="auto"/>
        <w:ind w:firstLine="560"/>
        <w:jc w:val="both"/>
        <w:rPr>
          <w:rFonts w:hint="eastAsia" w:ascii="宋体" w:hAnsi="宋体" w:eastAsia="宋体" w:cs="宋体"/>
          <w:sz w:val="28"/>
          <w:szCs w:val="28"/>
          <w:lang w:val="en-US" w:eastAsia="zh-CN"/>
        </w:rPr>
      </w:pPr>
    </w:p>
    <w:p>
      <w:pPr>
        <w:numPr>
          <w:ilvl w:val="0"/>
          <w:numId w:val="0"/>
        </w:numPr>
        <w:spacing w:line="360" w:lineRule="auto"/>
        <w:ind w:firstLine="560"/>
        <w:jc w:val="both"/>
        <w:rPr>
          <w:rFonts w:hint="eastAsia" w:ascii="宋体" w:hAnsi="宋体" w:eastAsia="宋体" w:cs="宋体"/>
          <w:sz w:val="28"/>
          <w:szCs w:val="28"/>
          <w:lang w:val="en-US" w:eastAsia="zh-CN"/>
        </w:rPr>
      </w:pPr>
    </w:p>
    <w:p>
      <w:pPr>
        <w:numPr>
          <w:ilvl w:val="0"/>
          <w:numId w:val="0"/>
        </w:numPr>
        <w:spacing w:line="360" w:lineRule="auto"/>
        <w:ind w:firstLine="560"/>
        <w:jc w:val="both"/>
        <w:rPr>
          <w:rFonts w:hint="eastAsia" w:ascii="宋体" w:hAnsi="宋体" w:eastAsia="宋体" w:cs="宋体"/>
          <w:sz w:val="28"/>
          <w:szCs w:val="28"/>
          <w:lang w:val="en-US" w:eastAsia="zh-CN"/>
        </w:rPr>
      </w:pPr>
    </w:p>
    <w:p>
      <w:pPr>
        <w:numPr>
          <w:ilvl w:val="0"/>
          <w:numId w:val="0"/>
        </w:numPr>
        <w:spacing w:line="360" w:lineRule="auto"/>
        <w:ind w:firstLine="560"/>
        <w:jc w:val="both"/>
        <w:rPr>
          <w:rFonts w:hint="eastAsia" w:ascii="宋体" w:hAnsi="宋体" w:eastAsia="宋体" w:cs="宋体"/>
          <w:sz w:val="28"/>
          <w:szCs w:val="28"/>
          <w:lang w:val="en-US" w:eastAsia="zh-CN"/>
        </w:rPr>
      </w:pPr>
    </w:p>
    <w:p>
      <w:pPr>
        <w:numPr>
          <w:ilvl w:val="0"/>
          <w:numId w:val="0"/>
        </w:numPr>
        <w:spacing w:line="360" w:lineRule="auto"/>
        <w:jc w:val="both"/>
        <w:rPr>
          <w:rFonts w:hint="eastAsia" w:ascii="宋体" w:hAnsi="宋体" w:eastAsia="宋体" w:cs="宋体"/>
          <w:sz w:val="24"/>
          <w:lang w:val="en-US" w:eastAsia="zh-CN"/>
        </w:rPr>
      </w:pPr>
      <w:r>
        <w:rPr>
          <w:rFonts w:hint="eastAsia" w:ascii="宋体" w:hAnsi="宋体" w:eastAsia="宋体" w:cs="宋体"/>
          <w:sz w:val="28"/>
          <w:szCs w:val="28"/>
          <w:lang w:val="en-US" w:eastAsia="zh-CN"/>
        </w:rPr>
        <w:t xml:space="preserve">如图  </w:t>
      </w:r>
    </w:p>
    <w:p>
      <w:pPr>
        <w:numPr>
          <w:ilvl w:val="0"/>
          <w:numId w:val="0"/>
        </w:numPr>
        <w:spacing w:line="360" w:lineRule="auto"/>
        <w:ind w:left="140" w:leftChars="-400" w:hanging="980" w:hangingChars="35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6440805" cy="2795905"/>
            <wp:effectExtent l="0" t="0" r="17145" b="4445"/>
            <wp:docPr id="16" name="图片 1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6"/>
                    <pic:cNvPicPr>
                      <a:picLocks noChangeAspect="1"/>
                    </pic:cNvPicPr>
                  </pic:nvPicPr>
                  <pic:blipFill>
                    <a:blip r:embed="rId5"/>
                    <a:stretch>
                      <a:fillRect/>
                    </a:stretch>
                  </pic:blipFill>
                  <pic:spPr>
                    <a:xfrm>
                      <a:off x="0" y="0"/>
                      <a:ext cx="6440805" cy="2795905"/>
                    </a:xfrm>
                    <a:prstGeom prst="rect">
                      <a:avLst/>
                    </a:prstGeom>
                  </pic:spPr>
                </pic:pic>
              </a:graphicData>
            </a:graphic>
          </wp:inline>
        </w:drawing>
      </w:r>
    </w:p>
    <w:p>
      <w:pPr>
        <w:numPr>
          <w:ilvl w:val="0"/>
          <w:numId w:val="0"/>
        </w:numPr>
        <w:spacing w:line="360" w:lineRule="auto"/>
        <w:jc w:val="both"/>
        <w:outlineLvl w:val="0"/>
        <w:rPr>
          <w:rFonts w:hint="eastAsia" w:ascii="宋体" w:hAnsi="宋体" w:eastAsia="宋体" w:cs="宋体"/>
          <w:sz w:val="28"/>
          <w:szCs w:val="28"/>
          <w:lang w:val="en-US" w:eastAsia="zh-CN"/>
        </w:rPr>
      </w:pPr>
      <w:bookmarkStart w:id="15" w:name="_Toc14642"/>
      <w:r>
        <w:rPr>
          <w:rFonts w:hint="eastAsia" w:ascii="宋体" w:hAnsi="宋体" w:eastAsia="宋体" w:cs="宋体"/>
          <w:sz w:val="28"/>
          <w:szCs w:val="28"/>
          <w:lang w:val="en-US" w:eastAsia="zh-CN"/>
        </w:rPr>
        <w:t>2.2质量管理体系</w:t>
      </w:r>
      <w:bookmarkEnd w:id="15"/>
    </w:p>
    <w:p>
      <w:pPr>
        <w:numPr>
          <w:ilvl w:val="0"/>
          <w:numId w:val="0"/>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质量是企业的生命。没有质量，企业将无法长久。质量安全绝对是对企业最基本的要求，也是最重要的事项。企业或许不能与质量一荣俱荣，但一定能一损俱损。我们的组织领导十分注重质量安全问题，定期对品控检验部的检验情况进行审查；对产品质量管理实行无过错责任制，从员工至领导全部对产品质量负责。我厂非常注重客户对产品的满意程度，会不定期的做一些调查问卷，确定顾客对产品及服务的满意程度，及时进行统计分析，确定顾客的需求和希望以及公司改进方面的措施。</w:t>
      </w:r>
    </w:p>
    <w:p>
      <w:pPr>
        <w:numPr>
          <w:ilvl w:val="0"/>
          <w:numId w:val="0"/>
        </w:numPr>
        <w:spacing w:line="360" w:lineRule="auto"/>
        <w:jc w:val="both"/>
        <w:outlineLvl w:val="0"/>
        <w:rPr>
          <w:rFonts w:hint="eastAsia" w:ascii="宋体" w:hAnsi="宋体" w:eastAsia="宋体" w:cs="宋体"/>
          <w:sz w:val="28"/>
          <w:szCs w:val="28"/>
          <w:lang w:val="en-US" w:eastAsia="zh-CN"/>
        </w:rPr>
      </w:pPr>
      <w:bookmarkStart w:id="16" w:name="_Toc8125"/>
      <w:r>
        <w:rPr>
          <w:rFonts w:hint="eastAsia" w:ascii="宋体" w:hAnsi="宋体" w:eastAsia="宋体" w:cs="宋体"/>
          <w:sz w:val="28"/>
          <w:szCs w:val="28"/>
          <w:lang w:val="en-US" w:eastAsia="zh-CN"/>
        </w:rPr>
        <w:t>2.3质量安全风险管理</w:t>
      </w:r>
      <w:bookmarkEnd w:id="16"/>
    </w:p>
    <w:p>
      <w:pPr>
        <w:numPr>
          <w:ilvl w:val="0"/>
          <w:numId w:val="1"/>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质量风险监测：我厂每年通过对产品质量进行回顾分析和质量审核，不断完善和健全质量风险检测，定期总结、分析阶段性的质量状况，采取有针对性的解决方案，不断优化和改进质量管理的手段和关注点，确认工艺稳定可靠，以及原料和成品的适用性和安全性，为生产均质、稳定、优质产品提供系统保障，全面降低质量安全风险，及时发现不良趋势，消除安全隐患，确保产品质量处于稳定状态。</w:t>
      </w:r>
    </w:p>
    <w:p>
      <w:pPr>
        <w:numPr>
          <w:ilvl w:val="0"/>
          <w:numId w:val="1"/>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应急措施：我公司制订了“安全第一，预防为主，综合治理”的安全生产方针，确立“零事故、零重伤、轻伤小于千分之三，安全隐患整改率100%”的安全生产工作目标。为了提高我厂对突发事故和险情的应急能力，确保在发生重大、特大事故时，指挥调度畅通，人员、设备、物资能够及时到位，事故一旦发生能够及时有效的控制，依据《中华人民共和国安全生产法》、《生产安全事故应急预案管理办法》等相关规定，结合实际情况制订了事故应急预案，以确保突发事件发生时，能够启动应急预案，规避风险减少危害必要时及时采取产品召回。让员工自觉做到“要我安全”到“我要安全”，最终到“我会安全”。</w:t>
      </w:r>
    </w:p>
    <w:p>
      <w:pPr>
        <w:numPr>
          <w:ilvl w:val="0"/>
          <w:numId w:val="0"/>
        </w:numPr>
        <w:spacing w:line="360" w:lineRule="auto"/>
        <w:jc w:val="both"/>
        <w:outlineLvl w:val="0"/>
        <w:rPr>
          <w:rFonts w:hint="eastAsia" w:ascii="宋体" w:hAnsi="宋体" w:eastAsia="宋体" w:cs="宋体"/>
          <w:sz w:val="28"/>
          <w:szCs w:val="28"/>
          <w:lang w:val="en-US" w:eastAsia="zh-CN"/>
        </w:rPr>
      </w:pPr>
      <w:bookmarkStart w:id="17" w:name="_Toc26328"/>
      <w:r>
        <w:rPr>
          <w:rFonts w:hint="eastAsia" w:ascii="宋体" w:hAnsi="宋体" w:eastAsia="宋体" w:cs="宋体"/>
          <w:sz w:val="28"/>
          <w:szCs w:val="28"/>
          <w:lang w:val="en-US" w:eastAsia="zh-CN"/>
        </w:rPr>
        <w:t>3质量诚信管理</w:t>
      </w:r>
      <w:bookmarkEnd w:id="17"/>
    </w:p>
    <w:p>
      <w:pPr>
        <w:numPr>
          <w:ilvl w:val="0"/>
          <w:numId w:val="0"/>
        </w:numPr>
        <w:spacing w:line="360" w:lineRule="auto"/>
        <w:jc w:val="both"/>
        <w:outlineLvl w:val="0"/>
        <w:rPr>
          <w:rFonts w:hint="eastAsia" w:ascii="宋体" w:hAnsi="宋体" w:eastAsia="宋体" w:cs="宋体"/>
          <w:sz w:val="28"/>
          <w:szCs w:val="28"/>
          <w:lang w:val="en-US" w:eastAsia="zh-CN"/>
        </w:rPr>
      </w:pPr>
      <w:bookmarkStart w:id="18" w:name="_Toc26500"/>
      <w:r>
        <w:rPr>
          <w:rFonts w:hint="eastAsia" w:ascii="宋体" w:hAnsi="宋体" w:eastAsia="宋体" w:cs="宋体"/>
          <w:sz w:val="28"/>
          <w:szCs w:val="28"/>
          <w:lang w:val="en-US" w:eastAsia="zh-CN"/>
        </w:rPr>
        <w:t>3.1质量诚信管理</w:t>
      </w:r>
      <w:bookmarkEnd w:id="18"/>
    </w:p>
    <w:p>
      <w:pPr>
        <w:numPr>
          <w:ilvl w:val="0"/>
          <w:numId w:val="0"/>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做为一个乳制品生产企业，持续健康发展的前提是守法、诚实、守信。我厂秉持的质量方针“创一流管理，求卓越品质”。从高管到一线员工，每个人都本着对消费者负责的高度责任感进行生产，从采购、生产、销售到售后服务；从新员工到入职培训；从企业经营到社会责任，我厂始终把质量诚信工作放在首位。</w:t>
      </w:r>
    </w:p>
    <w:p>
      <w:pPr>
        <w:numPr>
          <w:ilvl w:val="0"/>
          <w:numId w:val="0"/>
        </w:numPr>
        <w:spacing w:line="360" w:lineRule="auto"/>
        <w:jc w:val="both"/>
        <w:outlineLvl w:val="0"/>
        <w:rPr>
          <w:rFonts w:hint="eastAsia" w:ascii="宋体" w:hAnsi="宋体" w:eastAsia="宋体" w:cs="宋体"/>
          <w:sz w:val="28"/>
          <w:szCs w:val="28"/>
          <w:lang w:val="en-US" w:eastAsia="zh-CN"/>
        </w:rPr>
      </w:pPr>
      <w:bookmarkStart w:id="19" w:name="_Toc20729"/>
      <w:r>
        <w:rPr>
          <w:rFonts w:hint="eastAsia" w:ascii="宋体" w:hAnsi="宋体" w:eastAsia="宋体" w:cs="宋体"/>
          <w:sz w:val="28"/>
          <w:szCs w:val="28"/>
          <w:lang w:val="en-US" w:eastAsia="zh-CN"/>
        </w:rPr>
        <w:t>3.2质量承诺</w:t>
      </w:r>
      <w:bookmarkEnd w:id="19"/>
    </w:p>
    <w:p>
      <w:pPr>
        <w:numPr>
          <w:ilvl w:val="0"/>
          <w:numId w:val="0"/>
        </w:num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从全面质量管理的基础入手，牢固树立“质量第一、信誉第一、用户至上”的生产经营指导思想，狠抓生产现场关键工序的质量控制，保证产品质量符合国家标准和广大消费者的要求。保持管理体系，采取有效措施持续改进，对任何偏离质量/环境职业健康安全方针和质量/环境/职业健康安全目标的行为予以纠正和预防。全体员工务必遵循本公司的质量/环境/职业健康安全方针、质量/环境/职业健康安全目标和承诺，以一流的管理，优质的产品，满意的服务不断的提高高科技产品服务于本市场。</w:t>
      </w:r>
    </w:p>
    <w:p>
      <w:pPr>
        <w:numPr>
          <w:ilvl w:val="0"/>
          <w:numId w:val="0"/>
        </w:numPr>
        <w:spacing w:line="360" w:lineRule="auto"/>
        <w:jc w:val="both"/>
        <w:outlineLvl w:val="0"/>
        <w:rPr>
          <w:rFonts w:hint="eastAsia" w:ascii="宋体" w:hAnsi="宋体" w:eastAsia="宋体" w:cs="宋体"/>
          <w:sz w:val="28"/>
          <w:szCs w:val="28"/>
          <w:lang w:val="en-US" w:eastAsia="zh-CN"/>
        </w:rPr>
      </w:pPr>
      <w:bookmarkStart w:id="20" w:name="_Toc18908"/>
      <w:r>
        <w:rPr>
          <w:rFonts w:hint="eastAsia" w:ascii="宋体" w:hAnsi="宋体" w:eastAsia="宋体" w:cs="宋体"/>
          <w:sz w:val="28"/>
          <w:szCs w:val="28"/>
          <w:lang w:val="en-US" w:eastAsia="zh-CN"/>
        </w:rPr>
        <w:t>3.3运作管理</w:t>
      </w:r>
      <w:bookmarkEnd w:id="20"/>
    </w:p>
    <w:p>
      <w:pPr>
        <w:spacing w:beforeLines="0" w:afterLines="0"/>
        <w:ind w:left="16" w:leftChars="0" w:hanging="16" w:hangingChars="6"/>
        <w:jc w:val="both"/>
        <w:rPr>
          <w:rFonts w:hint="eastAsia" w:ascii="宋体" w:hAnsi="宋体" w:eastAsia="宋体" w:cs="宋体"/>
          <w:b w:val="0"/>
          <w:bCs/>
          <w:color w:val="000000"/>
          <w:sz w:val="28"/>
          <w:szCs w:val="28"/>
          <w:lang w:val="zh-CN"/>
        </w:rPr>
      </w:pPr>
      <w:r>
        <w:rPr>
          <w:rFonts w:hint="eastAsia" w:ascii="宋体" w:hAnsi="宋体" w:eastAsia="宋体" w:cs="宋体"/>
          <w:sz w:val="28"/>
          <w:szCs w:val="28"/>
          <w:lang w:val="en-US" w:eastAsia="zh-CN"/>
        </w:rPr>
        <w:t xml:space="preserve">   我厂产品包装、设计的出发点是突出地域特色和民族特色，新产品的开发传承了传统工艺和新技术的结合。从市场需求分析，产品结构的设计到加工制造各个部门层层把关力推精品。原材料的采购经过层层筛选，优中取优。与有资质的供货商合作，能做到原料可追溯，质量有保障。</w:t>
      </w:r>
      <w:r>
        <w:rPr>
          <w:rFonts w:hint="eastAsia" w:ascii="宋体" w:hAnsi="宋体" w:eastAsia="宋体" w:cs="宋体"/>
          <w:b w:val="0"/>
          <w:bCs/>
          <w:color w:val="000000"/>
          <w:sz w:val="28"/>
          <w:szCs w:val="28"/>
          <w:lang w:val="zh-CN"/>
        </w:rPr>
        <w:t>面对市场的激烈竞争，我公司严格按照国标及行业标准进行生产管理、质量控制并进行质量管理体系、生产工艺流程的建立及控制管理。从产品原材料采购、理化分析及试验、生产加工、试验、售后服务这一条龙的生产管理上，公司秉承“过程环环控制、质量人人把关、产品持续改进、服务用户满意”的质量方针，严格控制生产流程每道工序，确保产品质量。</w:t>
      </w:r>
    </w:p>
    <w:p>
      <w:pPr>
        <w:spacing w:beforeLines="0" w:afterLines="0"/>
        <w:ind w:left="200"/>
        <w:jc w:val="both"/>
        <w:outlineLvl w:val="0"/>
        <w:rPr>
          <w:rFonts w:hint="eastAsia" w:ascii="宋体" w:hAnsi="宋体" w:eastAsia="宋体" w:cs="宋体"/>
          <w:b w:val="0"/>
          <w:bCs/>
          <w:color w:val="000000"/>
          <w:sz w:val="28"/>
          <w:szCs w:val="28"/>
          <w:lang w:val="en-US" w:eastAsia="zh-CN"/>
        </w:rPr>
      </w:pPr>
      <w:bookmarkStart w:id="21" w:name="_Toc6240"/>
      <w:r>
        <w:rPr>
          <w:rFonts w:hint="eastAsia" w:ascii="宋体" w:hAnsi="宋体" w:eastAsia="宋体" w:cs="宋体"/>
          <w:b w:val="0"/>
          <w:bCs/>
          <w:color w:val="000000"/>
          <w:sz w:val="28"/>
          <w:szCs w:val="28"/>
          <w:lang w:val="en-US" w:eastAsia="zh-CN"/>
        </w:rPr>
        <w:t>3.4营销管理</w:t>
      </w:r>
      <w:bookmarkEnd w:id="21"/>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我厂有专门负责人全权处理所辖区域的营销工作，参与制定公司的发展战略，合理配备资源。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制定完善的营销计划为公司的生产安排提供可行的参考依据。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加强所辖营销团队及区域代理商的建设工作，提升团队业务能力，做好后备力量的选拔工作。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根据公司的发展战略，提出合理的营销模式；建立合理、有效的营销渠道。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有步骤、有计划的完成销售任务。  </w:t>
      </w:r>
    </w:p>
    <w:p>
      <w:pPr>
        <w:numPr>
          <w:ilvl w:val="0"/>
          <w:numId w:val="2"/>
        </w:numPr>
        <w:spacing w:beforeLines="0" w:afterLines="0"/>
        <w:ind w:left="0" w:leftChars="0" w:firstLine="560" w:firstLineChars="200"/>
        <w:jc w:val="both"/>
        <w:outlineLvl w:val="2"/>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w:t>
      </w:r>
      <w:bookmarkStart w:id="22" w:name="_Toc13952"/>
      <w:r>
        <w:rPr>
          <w:rFonts w:hint="eastAsia" w:ascii="宋体" w:hAnsi="宋体" w:eastAsia="宋体" w:cs="宋体"/>
          <w:b w:val="0"/>
          <w:bCs/>
          <w:color w:val="000000"/>
          <w:sz w:val="28"/>
          <w:szCs w:val="28"/>
          <w:lang w:val="zh-CN"/>
        </w:rPr>
        <w:t>进行全面的市场调研工作，了解用户的需求，准确选择目标，通过市场分析及市场预测，准确把握市场定位，建议并制定合理的价格体系。</w:t>
      </w:r>
      <w:bookmarkEnd w:id="22"/>
      <w:r>
        <w:rPr>
          <w:rFonts w:hint="eastAsia" w:ascii="宋体" w:hAnsi="宋体" w:eastAsia="宋体" w:cs="宋体"/>
          <w:b w:val="0"/>
          <w:bCs/>
          <w:color w:val="000000"/>
          <w:sz w:val="28"/>
          <w:szCs w:val="28"/>
          <w:lang w:val="zh-CN"/>
        </w:rPr>
        <w:t xml:space="preserve">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时刻掌握行业同类产品的价格体系，有目的的调整市场战略计划。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加强网络、平面媒体宣传，提高品牌知名度，塑造品牌产品形象。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及时了解市场需求变化，为公司技术研发部开发、改进产品提供真实可靠的信息。 </w:t>
      </w:r>
    </w:p>
    <w:p>
      <w:pPr>
        <w:numPr>
          <w:ilvl w:val="0"/>
          <w:numId w:val="2"/>
        </w:numPr>
        <w:spacing w:beforeLines="0" w:afterLines="0"/>
        <w:ind w:left="0" w:leftChars="0" w:firstLine="560" w:firstLineChars="200"/>
        <w:jc w:val="both"/>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zh-CN"/>
        </w:rPr>
        <w:t xml:space="preserve"> 用科学的管理方法，维护良好的客户关系，完善售后服务体系。</w:t>
      </w:r>
    </w:p>
    <w:p>
      <w:pPr>
        <w:spacing w:beforeLines="0" w:afterLines="0"/>
        <w:ind w:left="20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3" w:name="_Toc24456"/>
      <w:r>
        <w:rPr>
          <w:rFonts w:hint="eastAsia" w:ascii="宋体" w:hAnsi="宋体" w:eastAsia="宋体" w:cs="宋体"/>
          <w:color w:val="000000" w:themeColor="text1"/>
          <w:sz w:val="28"/>
          <w:szCs w:val="28"/>
          <w:lang w:val="en-US" w:eastAsia="zh-CN"/>
          <w14:textFill>
            <w14:solidFill>
              <w14:schemeClr w14:val="tx1"/>
            </w14:solidFill>
          </w14:textFill>
        </w:rPr>
        <w:t>4质量管理基础</w:t>
      </w:r>
      <w:bookmarkEnd w:id="23"/>
    </w:p>
    <w:p>
      <w:pPr>
        <w:spacing w:beforeLines="0" w:afterLines="0"/>
        <w:ind w:left="20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4" w:name="_Toc14568"/>
      <w:r>
        <w:rPr>
          <w:rFonts w:hint="eastAsia" w:ascii="宋体" w:hAnsi="宋体" w:eastAsia="宋体" w:cs="宋体"/>
          <w:color w:val="000000" w:themeColor="text1"/>
          <w:sz w:val="28"/>
          <w:szCs w:val="28"/>
          <w:lang w:val="en-US" w:eastAsia="zh-CN"/>
          <w14:textFill>
            <w14:solidFill>
              <w14:schemeClr w14:val="tx1"/>
            </w14:solidFill>
          </w14:textFill>
        </w:rPr>
        <w:t>4.1标准管理</w:t>
      </w:r>
      <w:bookmarkEnd w:id="24"/>
    </w:p>
    <w:p>
      <w:pPr>
        <w:spacing w:beforeLines="0" w:afterLines="0"/>
        <w:ind w:left="20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b w:val="0"/>
          <w:bCs/>
          <w:color w:val="000000"/>
          <w:sz w:val="28"/>
          <w:szCs w:val="28"/>
          <w:lang w:val="zh-CN"/>
        </w:rPr>
        <w:t>质量是企业的生命，产品质量一直是企业的头等大事，在质量管理工作中我厂高层高瞻远瞩，制定出切合企业实际发展的质量方针的质量目标。</w:t>
      </w:r>
      <w:r>
        <w:rPr>
          <w:rFonts w:hint="eastAsia" w:ascii="宋体" w:hAnsi="宋体" w:eastAsia="宋体" w:cs="宋体"/>
          <w:b w:val="0"/>
          <w:bCs w:val="0"/>
          <w:sz w:val="28"/>
          <w:szCs w:val="28"/>
          <w:lang w:val="en-US" w:eastAsia="zh-CN"/>
        </w:rPr>
        <w:t>2016年企业通过ISO9001质量管理体系和GB/T22000食品安全管理体系审查并获得认证证书，在现实工作中也严格按照体系各阶文件执行，真正将两大体系落到实处。</w:t>
      </w:r>
      <w:r>
        <w:rPr>
          <w:rFonts w:hint="eastAsia" w:ascii="宋体" w:hAnsi="宋体" w:eastAsia="宋体" w:cs="宋体"/>
          <w:b w:val="0"/>
          <w:bCs/>
          <w:color w:val="000000"/>
          <w:sz w:val="28"/>
          <w:szCs w:val="28"/>
          <w:lang w:val="zh-CN"/>
        </w:rPr>
        <w:t>“质量第一，用户至上，以优质的产品赢得客户的依赖”的质量目标，体现了以顾客为关注点，将客户的需求放在第一位的质量经营理念。公司建立了一套全面的、完整的、详尽的、严格的质量管理和质量保障的规章制度和质量保障体系文件，这些文件含概了市场调研、产品开发、生产管理、设备管理、人员管理、质量管理、生产工艺管理、质量标准管理、质量检验、销售管理、售后服务管理</w:t>
      </w:r>
      <w:r>
        <w:rPr>
          <w:rFonts w:hint="eastAsia" w:ascii="宋体" w:hAnsi="宋体" w:eastAsia="宋体" w:cs="宋体"/>
          <w:color w:val="000000" w:themeColor="text1"/>
          <w:sz w:val="28"/>
          <w:szCs w:val="28"/>
          <w:lang w:val="en-US" w:eastAsia="zh-CN"/>
          <w14:textFill>
            <w14:solidFill>
              <w14:schemeClr w14:val="tx1"/>
            </w14:solidFill>
          </w14:textFill>
        </w:rPr>
        <w:t>严格的质量管理成就高品质的产品。我公司的产品严格按照国家食品安全法的标准进行生产，每批产品经质量管理员严格审核，质量授权人批准后放行。保证了“产品出厂合格率达100%”的质量诚信目标的实现。</w:t>
      </w:r>
    </w:p>
    <w:p>
      <w:pPr>
        <w:spacing w:beforeLines="0" w:afterLines="0"/>
        <w:ind w:left="20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5" w:name="_Toc21326"/>
      <w:r>
        <w:rPr>
          <w:rFonts w:hint="eastAsia" w:ascii="宋体" w:hAnsi="宋体" w:eastAsia="宋体" w:cs="宋体"/>
          <w:color w:val="000000" w:themeColor="text1"/>
          <w:sz w:val="28"/>
          <w:szCs w:val="28"/>
          <w:lang w:val="en-US" w:eastAsia="zh-CN"/>
          <w14:textFill>
            <w14:solidFill>
              <w14:schemeClr w14:val="tx1"/>
            </w14:solidFill>
          </w14:textFill>
        </w:rPr>
        <w:t>4.2计量管理</w:t>
      </w:r>
      <w:bookmarkEnd w:id="25"/>
    </w:p>
    <w:p>
      <w:pPr>
        <w:spacing w:beforeLines="0" w:afterLines="0"/>
        <w:ind w:left="200"/>
        <w:jc w:val="both"/>
        <w:rPr>
          <w:rFonts w:hint="eastAsia" w:ascii="宋体" w:hAnsi="宋体" w:eastAsia="宋体" w:cs="宋体"/>
          <w:b w:val="0"/>
          <w:bCs/>
          <w:color w:val="000000"/>
          <w:sz w:val="28"/>
          <w:szCs w:val="28"/>
          <w:lang w:val="zh-CN"/>
        </w:rPr>
      </w:pPr>
      <w:r>
        <w:rPr>
          <w:rFonts w:hint="eastAsia" w:ascii="宋体" w:hAnsi="宋体" w:eastAsia="宋体" w:cs="宋体"/>
          <w:color w:val="000000" w:themeColor="text1"/>
          <w:sz w:val="28"/>
          <w:szCs w:val="28"/>
          <w:lang w:val="en-US" w:eastAsia="zh-CN"/>
          <w14:textFill>
            <w14:solidFill>
              <w14:schemeClr w14:val="tx1"/>
            </w14:solidFill>
          </w14:textFill>
        </w:rPr>
        <w:t xml:space="preserve">    公司设有单独的计量单位，拥有专业技术人员，按计量操作规程，定期对公司所有可控计量设备进行维护、保养、校准等，确保公司计量器具准确运行。</w:t>
      </w:r>
      <w:r>
        <w:rPr>
          <w:rFonts w:hint="eastAsia" w:ascii="宋体" w:hAnsi="宋体" w:eastAsia="宋体" w:cs="宋体"/>
          <w:b w:val="0"/>
          <w:bCs/>
          <w:color w:val="000000"/>
          <w:sz w:val="28"/>
          <w:szCs w:val="28"/>
          <w:lang w:val="zh-CN"/>
        </w:rPr>
        <w:t>严格遵守《产品质量法》、《标准化法》、《计量法》等法律法规，严格执行产品标准，满足顾客要求，杜绝虚假宣传，坚决抵制伪劣、欺诈顾客等失信违法行为，不侵害其它企业的合法权益，遵循公平、公开、公正的竞争原则，遵守市场规则，开展有序竞争，构建诚信经营、公平竞争的市场环境。</w:t>
      </w:r>
    </w:p>
    <w:p>
      <w:pPr>
        <w:spacing w:beforeLines="0" w:afterLines="0"/>
        <w:ind w:left="200"/>
        <w:jc w:val="both"/>
        <w:outlineLvl w:val="0"/>
        <w:rPr>
          <w:rFonts w:hint="eastAsia" w:ascii="宋体" w:hAnsi="宋体" w:eastAsia="宋体" w:cs="宋体"/>
          <w:b w:val="0"/>
          <w:bCs/>
          <w:color w:val="000000"/>
          <w:sz w:val="28"/>
          <w:szCs w:val="28"/>
          <w:lang w:val="en-US" w:eastAsia="zh-CN"/>
        </w:rPr>
      </w:pPr>
      <w:bookmarkStart w:id="26" w:name="_Toc25783"/>
      <w:r>
        <w:rPr>
          <w:rFonts w:hint="eastAsia" w:ascii="宋体" w:hAnsi="宋体" w:eastAsia="宋体" w:cs="宋体"/>
          <w:b w:val="0"/>
          <w:bCs/>
          <w:color w:val="000000"/>
          <w:sz w:val="28"/>
          <w:szCs w:val="28"/>
          <w:lang w:val="en-US" w:eastAsia="zh-CN"/>
        </w:rPr>
        <w:t>4.3认证管理</w:t>
      </w:r>
      <w:bookmarkEnd w:id="26"/>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sz w:val="28"/>
          <w:szCs w:val="28"/>
          <w:lang w:eastAsia="zh-CN"/>
        </w:rPr>
        <w:t>企业被评为</w:t>
      </w:r>
      <w:r>
        <w:rPr>
          <w:rFonts w:hint="eastAsia" w:ascii="宋体" w:hAnsi="宋体" w:eastAsia="宋体" w:cs="宋体"/>
          <w:sz w:val="28"/>
          <w:szCs w:val="28"/>
        </w:rPr>
        <w:t>“正蓝旗诚信单位”</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sz w:val="28"/>
          <w:szCs w:val="28"/>
        </w:rPr>
        <w:t>“全旗优秀企业”</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sz w:val="28"/>
          <w:szCs w:val="28"/>
          <w:lang w:eastAsia="zh-CN"/>
        </w:rPr>
        <w:t>“</w:t>
      </w:r>
      <w:r>
        <w:rPr>
          <w:rFonts w:hint="eastAsia" w:ascii="宋体" w:hAnsi="宋体" w:eastAsia="宋体" w:cs="宋体"/>
          <w:sz w:val="28"/>
          <w:szCs w:val="28"/>
        </w:rPr>
        <w:t>内蒙古自治区著名商标</w:t>
      </w:r>
      <w:r>
        <w:rPr>
          <w:rFonts w:hint="eastAsia" w:ascii="宋体" w:hAnsi="宋体" w:eastAsia="宋体" w:cs="宋体"/>
          <w:sz w:val="28"/>
          <w:szCs w:val="28"/>
          <w:lang w:eastAsia="zh-CN"/>
        </w:rPr>
        <w:t>”</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sz w:val="28"/>
          <w:szCs w:val="28"/>
          <w:lang w:eastAsia="zh-CN"/>
        </w:rPr>
        <w:t>“</w:t>
      </w:r>
      <w:r>
        <w:rPr>
          <w:rFonts w:hint="eastAsia" w:ascii="宋体" w:hAnsi="宋体" w:eastAsia="宋体" w:cs="宋体"/>
          <w:sz w:val="28"/>
          <w:szCs w:val="28"/>
        </w:rPr>
        <w:t>锡林郭勒盟知名商标</w:t>
      </w:r>
      <w:r>
        <w:rPr>
          <w:rFonts w:hint="eastAsia" w:ascii="宋体" w:hAnsi="宋体" w:eastAsia="宋体" w:cs="宋体"/>
          <w:sz w:val="28"/>
          <w:szCs w:val="28"/>
          <w:lang w:eastAsia="zh-CN"/>
        </w:rPr>
        <w:t>”</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sz w:val="28"/>
          <w:szCs w:val="28"/>
        </w:rPr>
        <w:t>单品</w:t>
      </w:r>
      <w:r>
        <w:rPr>
          <w:rFonts w:hint="eastAsia" w:ascii="宋体" w:hAnsi="宋体" w:eastAsia="宋体" w:cs="宋体"/>
          <w:sz w:val="28"/>
          <w:szCs w:val="28"/>
          <w:lang w:eastAsia="zh-CN"/>
        </w:rPr>
        <w:t>奶</w:t>
      </w:r>
      <w:r>
        <w:rPr>
          <w:rFonts w:hint="eastAsia" w:ascii="宋体" w:hAnsi="宋体" w:eastAsia="宋体" w:cs="宋体"/>
          <w:sz w:val="28"/>
          <w:szCs w:val="28"/>
        </w:rPr>
        <w:t>豆腐</w:t>
      </w:r>
      <w:r>
        <w:rPr>
          <w:rFonts w:hint="eastAsia" w:ascii="宋体" w:hAnsi="宋体" w:eastAsia="宋体" w:cs="宋体"/>
          <w:sz w:val="28"/>
          <w:szCs w:val="28"/>
          <w:lang w:eastAsia="zh-CN"/>
        </w:rPr>
        <w:t>被评为“内蒙古</w:t>
      </w:r>
      <w:bookmarkStart w:id="35" w:name="_GoBack"/>
      <w:bookmarkEnd w:id="35"/>
      <w:r>
        <w:rPr>
          <w:rFonts w:hint="eastAsia" w:ascii="宋体" w:hAnsi="宋体" w:eastAsia="宋体" w:cs="宋体"/>
          <w:sz w:val="28"/>
          <w:szCs w:val="28"/>
          <w:lang w:eastAsia="zh-CN"/>
        </w:rPr>
        <w:t>名牌产品”</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2010年荣获锡林郭勒国际商贸批发城2010首届中俄商品展销会“优秀产品奖”</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2011年荣获全盟第四届民族文化产品暨第五届旅游商品展示大赛组委会“民族食品奖”三等奖</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2013年荣获锡林郭勒盟消费者协会颁发的2013年-2014年度诚信单位称号</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2014年荣获锡林郭勒盟知名商标认定委员会颁发的“锡林郭勒盟知名商标”称号</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2014年荣获内蒙古自治区著名商标认定委员会颁发的“内蒙古著名商标”称号</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2015年</w:t>
      </w:r>
      <w:r>
        <w:rPr>
          <w:rFonts w:hint="eastAsia" w:ascii="宋体" w:hAnsi="宋体" w:eastAsia="宋体" w:cs="宋体"/>
          <w:color w:val="000000" w:themeColor="text1"/>
          <w:sz w:val="28"/>
          <w:szCs w:val="28"/>
          <w:lang w:val="zh-CN"/>
          <w14:textFill>
            <w14:solidFill>
              <w14:schemeClr w14:val="tx1"/>
            </w14:solidFill>
          </w14:textFill>
        </w:rPr>
        <w:t>锡盟扶困助学单位</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2015年</w:t>
      </w:r>
      <w:r>
        <w:rPr>
          <w:rFonts w:hint="eastAsia" w:ascii="宋体" w:hAnsi="宋体" w:eastAsia="宋体" w:cs="宋体"/>
          <w:color w:val="000000" w:themeColor="text1"/>
          <w:sz w:val="28"/>
          <w:szCs w:val="28"/>
          <w:lang w:val="zh-CN"/>
          <w14:textFill>
            <w14:solidFill>
              <w14:schemeClr w14:val="tx1"/>
            </w14:solidFill>
          </w14:textFill>
        </w:rPr>
        <w:t>正蓝旗技术改造先进单位</w:t>
      </w:r>
      <w:r>
        <w:rPr>
          <w:rFonts w:hint="eastAsia" w:ascii="宋体" w:hAnsi="宋体" w:eastAsia="宋体" w:cs="宋体"/>
          <w:color w:val="000000" w:themeColor="text1"/>
          <w:sz w:val="28"/>
          <w:szCs w:val="28"/>
          <w:lang w:val="zh-CN"/>
          <w14:textFill>
            <w14:solidFill>
              <w14:schemeClr w14:val="tx1"/>
            </w14:solidFill>
          </w14:textFill>
        </w:rPr>
        <w:tab/>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全区工会示范工会企业</w:t>
      </w:r>
      <w:r>
        <w:rPr>
          <w:rFonts w:hint="eastAsia" w:ascii="宋体" w:hAnsi="宋体" w:eastAsia="宋体" w:cs="宋体"/>
          <w:color w:val="000000" w:themeColor="text1"/>
          <w:sz w:val="28"/>
          <w:szCs w:val="28"/>
          <w:lang w:val="zh-CN"/>
          <w14:textFill>
            <w14:solidFill>
              <w14:schemeClr w14:val="tx1"/>
            </w14:solidFill>
          </w14:textFill>
        </w:rPr>
        <w:tab/>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国家质量检验检疫总局，获准使用地理标识保护产品专用标志企业</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2016年企业通过ISO9001质量管理体系和GB/T22000食品安全管理体系审查并获得认证证书。</w:t>
      </w:r>
    </w:p>
    <w:p>
      <w:pPr>
        <w:numPr>
          <w:ilvl w:val="0"/>
          <w:numId w:val="3"/>
        </w:numPr>
        <w:spacing w:beforeLines="0" w:afterLines="0"/>
        <w:ind w:left="0" w:leftChars="0"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2017年企业获得正蓝旗首届旗长质量奖</w:t>
      </w:r>
    </w:p>
    <w:p>
      <w:pPr>
        <w:numPr>
          <w:ilvl w:val="0"/>
          <w:numId w:val="0"/>
        </w:numPr>
        <w:spacing w:beforeLines="0" w:afterLines="0"/>
        <w:ind w:leftChars="200"/>
        <w:jc w:val="both"/>
        <w:rPr>
          <w:rFonts w:hint="eastAsia" w:ascii="宋体" w:hAnsi="宋体" w:eastAsia="宋体" w:cs="宋体"/>
          <w:color w:val="000000" w:themeColor="text1"/>
          <w:sz w:val="28"/>
          <w:szCs w:val="28"/>
          <w:lang w:val="en-US" w:eastAsia="zh-CN"/>
          <w14:textFill>
            <w14:solidFill>
              <w14:schemeClr w14:val="tx1"/>
            </w14:solidFill>
          </w14:textFill>
        </w:rPr>
      </w:pPr>
    </w:p>
    <w:p>
      <w:pPr>
        <w:numPr>
          <w:ilvl w:val="0"/>
          <w:numId w:val="0"/>
        </w:numPr>
        <w:spacing w:beforeLines="0" w:afterLines="0"/>
        <w:ind w:leftChars="200"/>
        <w:jc w:val="both"/>
        <w:rPr>
          <w:rFonts w:hint="eastAsia" w:ascii="宋体" w:hAnsi="宋体" w:eastAsia="宋体" w:cs="宋体"/>
          <w:color w:val="000000" w:themeColor="text1"/>
          <w:sz w:val="28"/>
          <w:szCs w:val="28"/>
          <w:lang w:val="en-US"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2405" cy="3491865"/>
            <wp:effectExtent l="0" t="0" r="4445" b="13335"/>
            <wp:docPr id="1" name="图片 1" descr="DSC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420"/>
                    <pic:cNvPicPr>
                      <a:picLocks noChangeAspect="1"/>
                    </pic:cNvPicPr>
                  </pic:nvPicPr>
                  <pic:blipFill>
                    <a:blip r:embed="rId6"/>
                    <a:stretch>
                      <a:fillRect/>
                    </a:stretch>
                  </pic:blipFill>
                  <pic:spPr>
                    <a:xfrm>
                      <a:off x="0" y="0"/>
                      <a:ext cx="5272405" cy="3491865"/>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2405" cy="3491865"/>
            <wp:effectExtent l="0" t="0" r="4445" b="13335"/>
            <wp:docPr id="2" name="图片 2" descr="DSC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419"/>
                    <pic:cNvPicPr>
                      <a:picLocks noChangeAspect="1"/>
                    </pic:cNvPicPr>
                  </pic:nvPicPr>
                  <pic:blipFill>
                    <a:blip r:embed="rId7"/>
                    <a:stretch>
                      <a:fillRect/>
                    </a:stretch>
                  </pic:blipFill>
                  <pic:spPr>
                    <a:xfrm>
                      <a:off x="0" y="0"/>
                      <a:ext cx="5272405" cy="3491865"/>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3040" cy="7960995"/>
            <wp:effectExtent l="0" t="0" r="3810" b="1905"/>
            <wp:docPr id="3" name="图片 3" descr="DSC_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0422"/>
                    <pic:cNvPicPr>
                      <a:picLocks noChangeAspect="1"/>
                    </pic:cNvPicPr>
                  </pic:nvPicPr>
                  <pic:blipFill>
                    <a:blip r:embed="rId8"/>
                    <a:stretch>
                      <a:fillRect/>
                    </a:stretch>
                  </pic:blipFill>
                  <pic:spPr>
                    <a:xfrm>
                      <a:off x="0" y="0"/>
                      <a:ext cx="5273040" cy="7960995"/>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69865" cy="3831590"/>
            <wp:effectExtent l="0" t="0" r="6985" b="16510"/>
            <wp:docPr id="4" name="图片 4" descr="奶豆腐地理标志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奶豆腐地理标志证书"/>
                    <pic:cNvPicPr>
                      <a:picLocks noChangeAspect="1"/>
                    </pic:cNvPicPr>
                  </pic:nvPicPr>
                  <pic:blipFill>
                    <a:blip r:embed="rId9"/>
                    <a:stretch>
                      <a:fillRect/>
                    </a:stretch>
                  </pic:blipFill>
                  <pic:spPr>
                    <a:xfrm>
                      <a:off x="0" y="0"/>
                      <a:ext cx="5269865" cy="3831590"/>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2405" cy="3491865"/>
            <wp:effectExtent l="0" t="0" r="4445" b="13335"/>
            <wp:docPr id="5" name="图片 5" descr="DSC_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0431"/>
                    <pic:cNvPicPr>
                      <a:picLocks noChangeAspect="1"/>
                    </pic:cNvPicPr>
                  </pic:nvPicPr>
                  <pic:blipFill>
                    <a:blip r:embed="rId10"/>
                    <a:stretch>
                      <a:fillRect/>
                    </a:stretch>
                  </pic:blipFill>
                  <pic:spPr>
                    <a:xfrm>
                      <a:off x="0" y="0"/>
                      <a:ext cx="5272405" cy="3491865"/>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2405" cy="3491865"/>
            <wp:effectExtent l="0" t="0" r="4445" b="13335"/>
            <wp:docPr id="6" name="图片 6" descr="DSC_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432"/>
                    <pic:cNvPicPr>
                      <a:picLocks noChangeAspect="1"/>
                    </pic:cNvPicPr>
                  </pic:nvPicPr>
                  <pic:blipFill>
                    <a:blip r:embed="rId11"/>
                    <a:stretch>
                      <a:fillRect/>
                    </a:stretch>
                  </pic:blipFill>
                  <pic:spPr>
                    <a:xfrm>
                      <a:off x="0" y="0"/>
                      <a:ext cx="5272405" cy="3491865"/>
                    </a:xfrm>
                    <a:prstGeom prst="rect">
                      <a:avLst/>
                    </a:prstGeom>
                  </pic:spPr>
                </pic:pic>
              </a:graphicData>
            </a:graphic>
          </wp:inline>
        </w:drawing>
      </w: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p>
    <w:p>
      <w:pPr>
        <w:numPr>
          <w:ilvl w:val="0"/>
          <w:numId w:val="0"/>
        </w:numPr>
        <w:spacing w:beforeLines="0" w:afterLines="0"/>
        <w:jc w:val="both"/>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drawing>
          <wp:inline distT="0" distB="0" distL="114300" distR="114300">
            <wp:extent cx="5272405" cy="3491865"/>
            <wp:effectExtent l="0" t="0" r="4445" b="13335"/>
            <wp:docPr id="7" name="图片 7" descr="DSC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0430"/>
                    <pic:cNvPicPr>
                      <a:picLocks noChangeAspect="1"/>
                    </pic:cNvPicPr>
                  </pic:nvPicPr>
                  <pic:blipFill>
                    <a:blip r:embed="rId12"/>
                    <a:stretch>
                      <a:fillRect/>
                    </a:stretch>
                  </pic:blipFill>
                  <pic:spPr>
                    <a:xfrm>
                      <a:off x="0" y="0"/>
                      <a:ext cx="5272405" cy="3491865"/>
                    </a:xfrm>
                    <a:prstGeom prst="rect">
                      <a:avLst/>
                    </a:prstGeom>
                  </pic:spPr>
                </pic:pic>
              </a:graphicData>
            </a:graphic>
          </wp:inline>
        </w:drawing>
      </w:r>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7" w:name="_Toc21022"/>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4.4检验检测管理</w:t>
      </w:r>
      <w:bookmarkEnd w:id="27"/>
    </w:p>
    <w:p>
      <w:pPr>
        <w:numPr>
          <w:ilvl w:val="0"/>
          <w:numId w:val="0"/>
        </w:numPr>
        <w:spacing w:beforeLines="0" w:afterLines="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公司化验室设有仪器检验室（分析天平、脂肪离心机、电热干燥箱、真空干燥箱、凯氏定氮蒸馏装置、马弗炉、酶标分析仪、原子吸收分光光度计、高效液相色谱仪、蒸汽压力灭菌锅、超净工作台、电热恒温培养箱、水浴锅、显微镜、可见分光光度针、双向磁力搅拌器、隔膜真空泵、超声波清洗机、旋涡混合器、玻璃仪器气流烘干器、高速离心机等），能够满足公司所有原辅料、包材和产品的质量检验需求，确保检验结果准确、可靠。</w:t>
      </w:r>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8" w:name="_Toc6835"/>
      <w:r>
        <w:rPr>
          <w:rFonts w:hint="eastAsia" w:ascii="宋体" w:hAnsi="宋体" w:eastAsia="宋体" w:cs="宋体"/>
          <w:color w:val="000000" w:themeColor="text1"/>
          <w:sz w:val="28"/>
          <w:szCs w:val="28"/>
          <w:lang w:val="en-US" w:eastAsia="zh-CN"/>
          <w14:textFill>
            <w14:solidFill>
              <w14:schemeClr w14:val="tx1"/>
            </w14:solidFill>
          </w14:textFill>
        </w:rPr>
        <w:t>5产品质量责任</w:t>
      </w:r>
      <w:bookmarkEnd w:id="28"/>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29" w:name="_Toc28036"/>
      <w:r>
        <w:rPr>
          <w:rFonts w:hint="eastAsia" w:ascii="宋体" w:hAnsi="宋体" w:eastAsia="宋体" w:cs="宋体"/>
          <w:color w:val="000000" w:themeColor="text1"/>
          <w:sz w:val="28"/>
          <w:szCs w:val="28"/>
          <w:lang w:val="en-US" w:eastAsia="zh-CN"/>
          <w14:textFill>
            <w14:solidFill>
              <w14:schemeClr w14:val="tx1"/>
            </w14:solidFill>
          </w14:textFill>
        </w:rPr>
        <w:t>5.1产品质量水平</w:t>
      </w:r>
      <w:bookmarkEnd w:id="29"/>
    </w:p>
    <w:p>
      <w:pPr>
        <w:numPr>
          <w:ilvl w:val="0"/>
          <w:numId w:val="0"/>
        </w:numPr>
        <w:spacing w:beforeLines="0" w:afterLines="0"/>
        <w:ind w:firstLine="560" w:firstLineChars="200"/>
        <w:jc w:val="both"/>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公司严格遵守和执行我国《中华人民共和国消费者权益保护法》、《中华人名共和国产品质量法》等有关法律法规要求和严格按照ISO9001国际认证标准进行生产、检验，各项技术性能均符合标准要求。保证诚信经营</w:t>
      </w:r>
      <w:r>
        <w:rPr>
          <w:rFonts w:hint="eastAsia" w:ascii="宋体" w:hAnsi="宋体" w:eastAsia="宋体" w:cs="宋体"/>
          <w:color w:val="000000" w:themeColor="text1"/>
          <w:sz w:val="28"/>
          <w:szCs w:val="28"/>
          <w:lang w:val="zh-CN"/>
          <w14:textFill>
            <w14:solidFill>
              <w14:schemeClr w14:val="tx1"/>
            </w14:solidFill>
          </w14:textFill>
        </w:rPr>
        <w:t>，生产加工、销售、品牌宣传、售后服务活动均诚信守法，不弄虚作假并完善质量档案。</w:t>
      </w:r>
    </w:p>
    <w:p>
      <w:pPr>
        <w:numPr>
          <w:ilvl w:val="0"/>
          <w:numId w:val="0"/>
        </w:numPr>
        <w:spacing w:beforeLines="0" w:afterLines="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30" w:name="_Toc4757"/>
      <w:r>
        <w:rPr>
          <w:rFonts w:hint="eastAsia" w:ascii="宋体" w:hAnsi="宋体" w:eastAsia="宋体" w:cs="宋体"/>
          <w:color w:val="000000" w:themeColor="text1"/>
          <w:sz w:val="28"/>
          <w:szCs w:val="28"/>
          <w:lang w:val="en-US" w:eastAsia="zh-CN"/>
          <w14:textFill>
            <w14:solidFill>
              <w14:schemeClr w14:val="tx1"/>
            </w14:solidFill>
          </w14:textFill>
        </w:rPr>
        <w:t>5.2产品售后责任</w:t>
      </w:r>
      <w:bookmarkEnd w:id="30"/>
    </w:p>
    <w:p>
      <w:pPr>
        <w:numPr>
          <w:ilvl w:val="0"/>
          <w:numId w:val="0"/>
        </w:numPr>
        <w:spacing w:beforeLines="0" w:afterLines="0"/>
        <w:ind w:firstLine="560" w:firstLineChars="200"/>
        <w:jc w:val="both"/>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31" w:name="_Toc8520"/>
      <w:r>
        <w:rPr>
          <w:rFonts w:hint="eastAsia" w:ascii="宋体" w:hAnsi="宋体" w:eastAsia="宋体" w:cs="宋体"/>
          <w:color w:val="000000" w:themeColor="text1"/>
          <w:sz w:val="28"/>
          <w:szCs w:val="28"/>
          <w:lang w:val="en-US" w:eastAsia="zh-CN"/>
          <w14:textFill>
            <w14:solidFill>
              <w14:schemeClr w14:val="tx1"/>
            </w14:solidFill>
          </w14:textFill>
        </w:rPr>
        <w:t>公司制定《退换货管理规程》和《食品召回管理规程》公司专门设立售后服务部，并在全国各省市设立经销商及旗舰店。拥有多名专业从事产品销售人员质量收集质量信息。征求客户意见等。处理客户来信来访，解答客户咨询。当出厂产品存在质量安全隐患时，能够有效迅速的追溯、召回，确保相关的隐患产品顺利准确召回得以有效处理。</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right="0" w:rightChars="0" w:hanging="560" w:hangingChars="200"/>
        <w:jc w:val="both"/>
        <w:textAlignment w:val="auto"/>
        <w:outlineLvl w:val="0"/>
        <w:rPr>
          <w:rFonts w:hint="eastAsia" w:ascii="宋体" w:hAnsi="宋体" w:eastAsia="宋体" w:cs="宋体"/>
          <w:color w:val="000000" w:themeColor="text1"/>
          <w:sz w:val="28"/>
          <w:szCs w:val="28"/>
          <w:lang w:val="en-US" w:eastAsia="zh-CN"/>
          <w14:textFill>
            <w14:solidFill>
              <w14:schemeClr w14:val="tx1"/>
            </w14:solidFill>
          </w14:textFill>
        </w:rPr>
      </w:pPr>
      <w:bookmarkStart w:id="32" w:name="_Toc14378"/>
      <w:r>
        <w:rPr>
          <w:rFonts w:hint="eastAsia" w:ascii="宋体" w:hAnsi="宋体" w:eastAsia="宋体" w:cs="宋体"/>
          <w:color w:val="000000" w:themeColor="text1"/>
          <w:sz w:val="28"/>
          <w:szCs w:val="28"/>
          <w:lang w:val="en-US" w:eastAsia="zh-CN"/>
          <w14:textFill>
            <w14:solidFill>
              <w14:schemeClr w14:val="tx1"/>
            </w14:solidFill>
          </w14:textFill>
        </w:rPr>
        <w:t>5.3企业社会责任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领导对诚信十分重视，经常在会议中提及有关诚信的话题，并做到率先垂范，做出的承诺一定要兑现。将诚信融入到企业的价值观中，经常对员工进行培训，建立员工行为准则。对供方供货质量严格要求，不拖欠货款，严格履行合同；对顾客所购买的货品负责，出现任何非顾客因素都做到积极处理，保证顾客利益，塑造“诚信长虹”的形象。企业的经营理念和价值观都融入了道德行为规范，并在日常生产生活和与顾客、供方的沟通中时刻遵守企业经营理念和价值观。</w:t>
      </w:r>
      <w:bookmarkEnd w:id="3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val="0"/>
          <w:bCs/>
          <w:color w:val="000000"/>
          <w:sz w:val="28"/>
          <w:szCs w:val="28"/>
          <w:lang w:val="zh-CN"/>
        </w:rPr>
      </w:pPr>
      <w:r>
        <w:rPr>
          <w:rFonts w:hint="eastAsia" w:ascii="宋体" w:hAnsi="宋体" w:eastAsia="宋体" w:cs="宋体"/>
          <w:sz w:val="28"/>
          <w:szCs w:val="28"/>
          <w:lang w:val="en-US" w:eastAsia="zh-CN"/>
        </w:rPr>
        <w:t>企业在注重发展的同时，时刻不忘感恩社会，在企业领导的带领下积极投身公益事业，进行扶困助学。为提高我旗生活质量，创建良好的企业周边环境，改善企业形象，我们制定了进一步的公益计划。</w:t>
      </w:r>
      <w:r>
        <w:rPr>
          <w:rFonts w:hint="eastAsia" w:ascii="宋体" w:hAnsi="宋体" w:eastAsia="宋体" w:cs="宋体"/>
          <w:b w:val="0"/>
          <w:bCs/>
          <w:color w:val="000000"/>
          <w:sz w:val="28"/>
          <w:szCs w:val="28"/>
          <w:lang w:val="zh-CN"/>
        </w:rPr>
        <w:t>始终致力于关爱社会，构建和谐、长远的公众利益。公司每年都拿出资金投入公益事业、社会捐款，用实际行动带动每个职工都能用一颗爱心回馈社会，获爱心捐赠先进单位，将文明、爱心和健康的理念，尽己所能，传播到每一个角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宋体" w:hAnsi="宋体" w:eastAsia="宋体" w:cs="宋体"/>
          <w:b w:val="0"/>
          <w:bCs/>
          <w:color w:val="000000"/>
          <w:sz w:val="28"/>
          <w:szCs w:val="28"/>
          <w:lang w:val="en-US" w:eastAsia="zh-CN"/>
        </w:rPr>
      </w:pPr>
      <w:bookmarkStart w:id="33" w:name="_Toc13447"/>
      <w:r>
        <w:rPr>
          <w:rFonts w:hint="eastAsia" w:ascii="宋体" w:hAnsi="宋体" w:eastAsia="宋体" w:cs="宋体"/>
          <w:b w:val="0"/>
          <w:bCs/>
          <w:color w:val="000000"/>
          <w:sz w:val="28"/>
          <w:szCs w:val="28"/>
          <w:lang w:val="en-US" w:eastAsia="zh-CN"/>
        </w:rPr>
        <w:t>5.4质量信用记录</w:t>
      </w:r>
      <w:bookmarkEnd w:id="33"/>
    </w:p>
    <w:p>
      <w:pPr>
        <w:numPr>
          <w:numId w:val="0"/>
        </w:numPr>
        <w:spacing w:beforeLines="0" w:afterLines="0"/>
        <w:ind w:firstLine="560" w:firstLineChars="200"/>
        <w:jc w:val="both"/>
        <w:rPr>
          <w:rFonts w:hint="eastAsia" w:ascii="宋体" w:hAnsi="宋体" w:eastAsia="宋体" w:cs="宋体"/>
          <w:b w:val="0"/>
          <w:bCs w:val="0"/>
          <w:color w:val="auto"/>
          <w:sz w:val="28"/>
          <w:szCs w:val="28"/>
          <w:lang w:val="zh-CN"/>
        </w:rPr>
      </w:pPr>
      <w:r>
        <w:rPr>
          <w:rFonts w:hint="eastAsia" w:ascii="宋体" w:hAnsi="宋体" w:eastAsia="宋体" w:cs="宋体"/>
          <w:b w:val="0"/>
          <w:bCs w:val="0"/>
          <w:color w:val="auto"/>
          <w:sz w:val="28"/>
          <w:szCs w:val="28"/>
          <w:lang w:val="zh-CN"/>
        </w:rPr>
        <w:t>2010年荣获锡林郭勒国际商贸批发城2010首届中俄商品展销会“优秀产品奖”；2011年荣获全盟第四届民族文化产品暨第五届旅游商品展示大赛组委会“民族食品奖”三等奖；2013年荣获锡林郭勒盟消费者协会颁发的2013年-2014年度诚信单位称号；2014年荣获锡林郭勒盟知名商标认定委员会颁发的“锡林郭勒盟知名商标”称号；2014年荣获内蒙古自治区著名商标认定委员会颁发的“内蒙古著名商标”称号。2005年荣获内蒙古自治区锡林郭勒盟“知名商标”；锡林郭勒盟知名商标；锡盟扶困助学单位 ；正蓝旗技术改造先进单位；内蒙古自治区著名商标；全区工会示范工会企业；国家质量检验检疫总局，获准使用地理标识保护产品专用标志企业；</w:t>
      </w:r>
      <w:r>
        <w:rPr>
          <w:rFonts w:hint="eastAsia" w:ascii="宋体" w:hAnsi="宋体" w:eastAsia="宋体" w:cs="宋体"/>
          <w:b w:val="0"/>
          <w:bCs w:val="0"/>
          <w:color w:val="auto"/>
          <w:sz w:val="28"/>
          <w:szCs w:val="28"/>
          <w:lang w:val="en-US" w:eastAsia="zh-CN"/>
        </w:rPr>
        <w:t>2016年</w:t>
      </w:r>
      <w:r>
        <w:rPr>
          <w:rFonts w:hint="eastAsia" w:ascii="宋体" w:hAnsi="宋体" w:eastAsia="宋体" w:cs="宋体"/>
          <w:b w:val="0"/>
          <w:bCs w:val="0"/>
          <w:color w:val="auto"/>
          <w:sz w:val="28"/>
          <w:szCs w:val="28"/>
          <w:lang w:val="zh-CN" w:eastAsia="zh-CN"/>
        </w:rPr>
        <w:t>企业通过ISO9001质量管理体系和GB/T22000食品安全管理体系审查并获得认证证书；</w:t>
      </w:r>
      <w:r>
        <w:rPr>
          <w:rFonts w:hint="eastAsia" w:ascii="宋体" w:hAnsi="宋体" w:eastAsia="宋体" w:cs="宋体"/>
          <w:color w:val="000000" w:themeColor="text1"/>
          <w:sz w:val="28"/>
          <w:szCs w:val="28"/>
          <w:lang w:val="en-US" w:eastAsia="zh-CN"/>
          <w14:textFill>
            <w14:solidFill>
              <w14:schemeClr w14:val="tx1"/>
            </w14:solidFill>
          </w14:textFill>
        </w:rPr>
        <w:t>2017年企业获得正蓝旗首届旗长质量奖。</w:t>
      </w:r>
    </w:p>
    <w:p>
      <w:pPr>
        <w:spacing w:beforeLines="0" w:afterLines="0"/>
        <w:jc w:val="both"/>
        <w:outlineLvl w:val="0"/>
        <w:rPr>
          <w:rFonts w:hint="eastAsia" w:ascii="宋体" w:hAnsi="宋体" w:eastAsia="宋体" w:cs="宋体"/>
          <w:b w:val="0"/>
          <w:bCs w:val="0"/>
          <w:color w:val="auto"/>
          <w:sz w:val="28"/>
          <w:szCs w:val="28"/>
          <w:lang w:val="en-US" w:eastAsia="zh-CN"/>
        </w:rPr>
      </w:pPr>
      <w:bookmarkStart w:id="34" w:name="_Toc7831"/>
      <w:r>
        <w:rPr>
          <w:rFonts w:hint="eastAsia" w:ascii="宋体" w:hAnsi="宋体" w:eastAsia="宋体" w:cs="宋体"/>
          <w:b w:val="0"/>
          <w:bCs w:val="0"/>
          <w:color w:val="auto"/>
          <w:sz w:val="28"/>
          <w:szCs w:val="28"/>
          <w:lang w:val="en-US" w:eastAsia="zh-CN"/>
        </w:rPr>
        <w:t>三、报告结语</w:t>
      </w:r>
      <w:bookmarkEnd w:id="34"/>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在新的起点上，我</w:t>
      </w:r>
      <w:r>
        <w:rPr>
          <w:rFonts w:hint="eastAsia" w:ascii="宋体" w:hAnsi="宋体" w:eastAsia="宋体" w:cs="宋体"/>
          <w:sz w:val="28"/>
          <w:szCs w:val="28"/>
          <w:lang w:eastAsia="zh-CN"/>
        </w:rPr>
        <w:t>厂</w:t>
      </w:r>
      <w:r>
        <w:rPr>
          <w:rFonts w:hint="eastAsia" w:ascii="宋体" w:hAnsi="宋体" w:eastAsia="宋体" w:cs="宋体"/>
          <w:sz w:val="28"/>
          <w:szCs w:val="28"/>
        </w:rPr>
        <w:t>将全面落实科学发展观，以实现循环经济、可持续发展为目标，紧抓历史机遇，坚持科学化管理、规模化生产、市场化运作的发展思路，不断加快建设步伐。围绕科学发展这个中心，走出了一条科技含量高、经济效益好、资源消耗低、环境污染少、人力资源优势得到充分发挥的</w:t>
      </w:r>
      <w:r>
        <w:rPr>
          <w:rFonts w:hint="eastAsia" w:ascii="宋体" w:hAnsi="宋体" w:eastAsia="宋体" w:cs="宋体"/>
          <w:sz w:val="28"/>
          <w:szCs w:val="28"/>
          <w:lang w:eastAsia="zh-CN"/>
        </w:rPr>
        <w:t>乳制品</w:t>
      </w:r>
      <w:r>
        <w:rPr>
          <w:rFonts w:hint="eastAsia" w:ascii="宋体" w:hAnsi="宋体" w:eastAsia="宋体" w:cs="宋体"/>
          <w:sz w:val="28"/>
          <w:szCs w:val="28"/>
        </w:rPr>
        <w:t>新型</w:t>
      </w:r>
      <w:r>
        <w:rPr>
          <w:rFonts w:hint="eastAsia" w:ascii="宋体" w:hAnsi="宋体" w:eastAsia="宋体" w:cs="宋体"/>
          <w:sz w:val="28"/>
          <w:szCs w:val="28"/>
          <w:lang w:eastAsia="zh-CN"/>
        </w:rPr>
        <w:t>发展</w:t>
      </w:r>
      <w:r>
        <w:rPr>
          <w:rFonts w:hint="eastAsia" w:ascii="宋体" w:hAnsi="宋体" w:eastAsia="宋体" w:cs="宋体"/>
          <w:sz w:val="28"/>
          <w:szCs w:val="28"/>
        </w:rPr>
        <w:t>道路。在今后的</w:t>
      </w:r>
      <w:r>
        <w:rPr>
          <w:rFonts w:hint="eastAsia" w:ascii="宋体" w:hAnsi="宋体" w:eastAsia="宋体" w:cs="宋体"/>
          <w:sz w:val="28"/>
          <w:szCs w:val="28"/>
          <w:lang w:eastAsia="zh-CN"/>
        </w:rPr>
        <w:t>企业经营中</w:t>
      </w:r>
      <w:r>
        <w:rPr>
          <w:rFonts w:hint="eastAsia" w:ascii="宋体" w:hAnsi="宋体" w:eastAsia="宋体" w:cs="宋体"/>
          <w:sz w:val="28"/>
          <w:szCs w:val="28"/>
        </w:rPr>
        <w:t>，我</w:t>
      </w:r>
      <w:r>
        <w:rPr>
          <w:rFonts w:hint="eastAsia" w:ascii="宋体" w:hAnsi="宋体" w:eastAsia="宋体" w:cs="宋体"/>
          <w:sz w:val="28"/>
          <w:szCs w:val="28"/>
          <w:lang w:eastAsia="zh-CN"/>
        </w:rPr>
        <w:t>厂</w:t>
      </w:r>
      <w:r>
        <w:rPr>
          <w:rFonts w:hint="eastAsia" w:ascii="宋体" w:hAnsi="宋体" w:eastAsia="宋体" w:cs="宋体"/>
          <w:sz w:val="28"/>
          <w:szCs w:val="28"/>
        </w:rPr>
        <w:t>将</w:t>
      </w:r>
      <w:r>
        <w:rPr>
          <w:rFonts w:hint="eastAsia" w:ascii="宋体" w:hAnsi="宋体" w:eastAsia="宋体" w:cs="宋体"/>
          <w:sz w:val="28"/>
          <w:szCs w:val="28"/>
          <w:lang w:eastAsia="zh-CN"/>
        </w:rPr>
        <w:t>继续</w:t>
      </w:r>
      <w:r>
        <w:rPr>
          <w:rFonts w:hint="eastAsia" w:ascii="宋体" w:hAnsi="宋体" w:eastAsia="宋体" w:cs="宋体"/>
          <w:sz w:val="28"/>
          <w:szCs w:val="28"/>
        </w:rPr>
        <w:t>以优质的产品和服务回报广大关心和支持我们的客户。</w:t>
      </w:r>
    </w:p>
    <w:p>
      <w:pPr>
        <w:ind w:firstLine="560" w:firstLineChars="200"/>
        <w:jc w:val="left"/>
        <w:rPr>
          <w:rFonts w:hint="eastAsia" w:ascii="宋体" w:hAnsi="宋体" w:eastAsia="宋体" w:cs="宋体"/>
          <w:sz w:val="28"/>
          <w:szCs w:val="28"/>
        </w:rPr>
      </w:pPr>
    </w:p>
    <w:p>
      <w:pPr>
        <w:ind w:firstLine="560" w:firstLineChars="200"/>
        <w:jc w:val="left"/>
        <w:rPr>
          <w:rFonts w:hint="eastAsia" w:ascii="宋体" w:hAnsi="宋体" w:eastAsia="宋体" w:cs="宋体"/>
          <w:sz w:val="28"/>
          <w:szCs w:val="28"/>
        </w:rPr>
      </w:pPr>
    </w:p>
    <w:p>
      <w:pPr>
        <w:ind w:firstLine="560" w:firstLineChars="200"/>
        <w:jc w:val="left"/>
        <w:rPr>
          <w:rFonts w:hint="eastAsia" w:ascii="宋体" w:hAnsi="宋体" w:eastAsia="宋体" w:cs="宋体"/>
          <w:sz w:val="28"/>
          <w:szCs w:val="28"/>
        </w:rPr>
      </w:pPr>
    </w:p>
    <w:p>
      <w:pPr>
        <w:ind w:firstLine="560" w:firstLineChars="200"/>
        <w:jc w:val="left"/>
        <w:rPr>
          <w:rFonts w:hint="eastAsia" w:ascii="宋体" w:hAnsi="宋体" w:eastAsia="宋体" w:cs="宋体"/>
          <w:sz w:val="28"/>
          <w:szCs w:val="28"/>
        </w:rPr>
      </w:pPr>
    </w:p>
    <w:p>
      <w:pPr>
        <w:ind w:firstLine="560" w:firstLineChars="200"/>
        <w:jc w:val="right"/>
        <w:rPr>
          <w:rFonts w:hint="eastAsia" w:ascii="宋体" w:hAnsi="宋体" w:eastAsia="宋体" w:cs="宋体"/>
          <w:sz w:val="28"/>
          <w:szCs w:val="28"/>
          <w:lang w:eastAsia="zh-CN"/>
        </w:rPr>
      </w:pPr>
      <w:r>
        <w:rPr>
          <w:rFonts w:hint="eastAsia" w:ascii="宋体" w:hAnsi="宋体" w:eastAsia="宋体" w:cs="宋体"/>
          <w:sz w:val="28"/>
          <w:szCs w:val="28"/>
          <w:lang w:eastAsia="zh-CN"/>
        </w:rPr>
        <w:t>正蓝旗长虹乳制品厂</w:t>
      </w:r>
    </w:p>
    <w:p>
      <w:pPr>
        <w:ind w:firstLine="560" w:firstLineChars="200"/>
        <w:jc w:val="righ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2017年9月17日</w:t>
      </w:r>
    </w:p>
    <w:p>
      <w:pPr>
        <w:numPr>
          <w:ilvl w:val="0"/>
          <w:numId w:val="0"/>
        </w:numPr>
        <w:spacing w:beforeLines="0" w:afterLines="0"/>
        <w:jc w:val="both"/>
        <w:rPr>
          <w:rFonts w:hint="eastAsia" w:ascii="宋体" w:hAnsi="宋体" w:eastAsia="宋体" w:cs="宋体"/>
          <w:sz w:val="28"/>
          <w:szCs w:val="28"/>
          <w:lang w:val="en-US" w:eastAsia="zh-CN"/>
        </w:rPr>
      </w:pPr>
    </w:p>
    <w:p>
      <w:pPr>
        <w:numPr>
          <w:ilvl w:val="0"/>
          <w:numId w:val="0"/>
        </w:numPr>
        <w:spacing w:beforeLines="0" w:afterLines="0"/>
        <w:jc w:val="both"/>
        <w:rPr>
          <w:rFonts w:hint="eastAsia" w:ascii="宋体" w:hAnsi="宋体" w:eastAsia="宋体" w:cs="宋体"/>
          <w:sz w:val="24"/>
          <w:szCs w:val="24"/>
          <w:lang w:val="en-US" w:eastAsia="zh-CN"/>
        </w:rPr>
      </w:pPr>
    </w:p>
    <w:p>
      <w:pPr>
        <w:jc w:val="both"/>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Wingdings 3">
    <w:panose1 w:val="05040102010807070707"/>
    <w:charset w:val="00"/>
    <w:family w:val="auto"/>
    <w:pitch w:val="default"/>
    <w:sig w:usb0="00000000" w:usb1="00000000" w:usb2="00000000" w:usb3="00000000" w:csb0="80000000" w:csb1="00000000"/>
  </w:font>
  <w:font w:name="Minion Pro Med">
    <w:altName w:val="PMingLiU"/>
    <w:panose1 w:val="02040503050306020203"/>
    <w:charset w:val="00"/>
    <w:family w:val="auto"/>
    <w:pitch w:val="default"/>
    <w:sig w:usb0="00000000" w:usb1="00000000"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altName w:val="微软雅黑"/>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 w:name="Calibri Light">
    <w:altName w:val="Microsoft Sans Serif"/>
    <w:panose1 w:val="020F0302020204030204"/>
    <w:charset w:val="00"/>
    <w:family w:val="swiss"/>
    <w:pitch w:val="default"/>
    <w:sig w:usb0="00000000" w:usb1="00000000" w:usb2="00000000" w:usb3="00000000" w:csb0="2000019F" w:csb1="00000000"/>
  </w:font>
  <w:font w:name="Microsoft Sans Serif">
    <w:panose1 w:val="020B0604020202020204"/>
    <w:charset w:val="00"/>
    <w:family w:val="auto"/>
    <w:pitch w:val="default"/>
    <w:sig w:usb0="E1002AFF" w:usb1="C0000002" w:usb2="00000008"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PMingLiU">
    <w:panose1 w:val="02020500000000000000"/>
    <w:charset w:val="88"/>
    <w:family w:val="auto"/>
    <w:pitch w:val="default"/>
    <w:sig w:usb0="A00002FF" w:usb1="28CFFCFA" w:usb2="00000016" w:usb3="00000000" w:csb0="00100001" w:csb1="00000000"/>
  </w:font>
  <w:font w:name="Bookshelf Symbol 7">
    <w:panose1 w:val="05010101010101010101"/>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华文彩云">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华康Sc黑体W4-A(P)">
    <w:panose1 w:val="020B0500000000000000"/>
    <w:charset w:val="86"/>
    <w:family w:val="auto"/>
    <w:pitch w:val="default"/>
    <w:sig w:usb0="80000287" w:usb1="28477CF8" w:usb2="00000010" w:usb3="00000000" w:csb0="001E0001" w:csb1="00000000"/>
  </w:font>
  <w:font w:name="华文中宋">
    <w:panose1 w:val="02010600040101010101"/>
    <w:charset w:val="86"/>
    <w:family w:val="auto"/>
    <w:pitch w:val="default"/>
    <w:sig w:usb0="00000287" w:usb1="080F0000" w:usb2="00000000" w:usb3="00000000" w:csb0="0004009F" w:csb1="DFD70000"/>
  </w:font>
  <w:font w:name="书体坊安景臣钢笔行书">
    <w:altName w:val="宋体"/>
    <w:panose1 w:val="02010601030101010101"/>
    <w:charset w:val="86"/>
    <w:family w:val="auto"/>
    <w:pitch w:val="default"/>
    <w:sig w:usb0="00000000" w:usb1="00000000" w:usb2="00000000" w:usb3="00000000" w:csb0="00040000" w:csb1="00000000"/>
  </w:font>
  <w:font w:name="书体坊兰亭体">
    <w:altName w:val="宋体"/>
    <w:panose1 w:val="03000509000000000000"/>
    <w:charset w:val="86"/>
    <w:family w:val="auto"/>
    <w:pitch w:val="default"/>
    <w:sig w:usb0="00000000" w:usb1="00000000" w:usb2="00000000" w:usb3="00000000" w:csb0="00140000" w:csb1="00000000"/>
  </w:font>
  <w:font w:name="书体坊王学勤钢笔行书">
    <w:altName w:val="宋体"/>
    <w:panose1 w:val="02010601030101010101"/>
    <w:charset w:val="86"/>
    <w:family w:val="auto"/>
    <w:pitch w:val="default"/>
    <w:sig w:usb0="00000000" w:usb1="00000000" w:usb2="00000000" w:usb3="00000000" w:csb0="00040000" w:csb1="00000000"/>
  </w:font>
  <w:font w:name="书体坊硬笔行书3500">
    <w:altName w:val="宋体"/>
    <w:panose1 w:val="02010601030101010101"/>
    <w:charset w:val="86"/>
    <w:family w:val="auto"/>
    <w:pitch w:val="default"/>
    <w:sig w:usb0="00000000" w:usb1="00000000" w:usb2="00000000" w:usb3="00000000" w:csb0="00040000" w:csb1="00000000"/>
  </w:font>
  <w:font w:name="书体坊米芾体">
    <w:altName w:val="宋体"/>
    <w:panose1 w:val="02010601030101010101"/>
    <w:charset w:val="86"/>
    <w:family w:val="auto"/>
    <w:pitch w:val="default"/>
    <w:sig w:usb0="00000000" w:usb1="00000000" w:usb2="00000000" w:usb3="00000000" w:csb0="00040000" w:csb1="00000000"/>
  </w:font>
  <w:font w:name="书体坊赵九江钢笔楷书">
    <w:altName w:val="宋体"/>
    <w:panose1 w:val="03000509000000000000"/>
    <w:charset w:val="86"/>
    <w:family w:val="auto"/>
    <w:pitch w:val="default"/>
    <w:sig w:usb0="00000000" w:usb1="00000000" w:usb2="00000000" w:usb3="00000000" w:csb0="00040000" w:csb1="00000000"/>
  </w:font>
  <w:font w:name="书体坊赵九江钢笔行书">
    <w:altName w:val="宋体"/>
    <w:panose1 w:val="03000509000000000000"/>
    <w:charset w:val="86"/>
    <w:family w:val="auto"/>
    <w:pitch w:val="default"/>
    <w:sig w:usb0="00000000" w:usb1="00000000" w:usb2="00000000" w:usb3="00000000" w:csb0="00040000" w:csb1="00000000"/>
  </w:font>
  <w:font w:name="Lucida Sans">
    <w:panose1 w:val="020B0602030504020204"/>
    <w:charset w:val="00"/>
    <w:family w:val="auto"/>
    <w:pitch w:val="default"/>
    <w:sig w:usb0="00000003" w:usb1="00000000" w:usb2="00000000" w:usb3="00000000" w:csb0="20000001" w:csb1="00000000"/>
  </w:font>
  <w:font w:name="Kozuka Mincho Pro R">
    <w:altName w:val="MS PMincho"/>
    <w:panose1 w:val="02020400000000000000"/>
    <w:charset w:val="80"/>
    <w:family w:val="auto"/>
    <w:pitch w:val="default"/>
    <w:sig w:usb0="00000000" w:usb1="00000000" w:usb2="00000012" w:usb3="00000000" w:csb0="00020005" w:csb1="00000000"/>
  </w:font>
  <w:font w:name="Symbol">
    <w:panose1 w:val="05050102010706020507"/>
    <w:charset w:val="00"/>
    <w:family w:val="auto"/>
    <w:pitch w:val="default"/>
    <w:sig w:usb0="00000000" w:usb1="00000000" w:usb2="00000000" w:usb3="00000000" w:csb0="80000000" w:csb1="00000000"/>
  </w:font>
  <w:font w:name="MS PMincho">
    <w:panose1 w:val="02020600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0E344"/>
    <w:multiLevelType w:val="singleLevel"/>
    <w:tmpl w:val="57E0E344"/>
    <w:lvl w:ilvl="0" w:tentative="0">
      <w:start w:val="1"/>
      <w:numFmt w:val="lowerLetter"/>
      <w:suff w:val="nothing"/>
      <w:lvlText w:val="%1)"/>
      <w:lvlJc w:val="left"/>
    </w:lvl>
  </w:abstractNum>
  <w:abstractNum w:abstractNumId="1">
    <w:nsid w:val="57E0FA0B"/>
    <w:multiLevelType w:val="singleLevel"/>
    <w:tmpl w:val="57E0FA0B"/>
    <w:lvl w:ilvl="0" w:tentative="0">
      <w:start w:val="1"/>
      <w:numFmt w:val="decimalEnclosedCircleChinese"/>
      <w:suff w:val="nothing"/>
      <w:lvlText w:val="%1　"/>
      <w:lvlJc w:val="left"/>
      <w:pPr>
        <w:ind w:left="0" w:leftChars="0" w:firstLine="400" w:firstLineChars="0"/>
      </w:pPr>
      <w:rPr>
        <w:rFonts w:hint="eastAsia"/>
      </w:rPr>
    </w:lvl>
  </w:abstractNum>
  <w:abstractNum w:abstractNumId="2">
    <w:nsid w:val="57E1015F"/>
    <w:multiLevelType w:val="singleLevel"/>
    <w:tmpl w:val="57E1015F"/>
    <w:lvl w:ilvl="0" w:tentative="0">
      <w:start w:val="1"/>
      <w:numFmt w:val="decimalEnclosedCircleChinese"/>
      <w:suff w:val="nothing"/>
      <w:lvlText w:val="%1　"/>
      <w:lvlJc w:val="left"/>
      <w:pPr>
        <w:ind w:left="0" w:leftChars="0" w:firstLine="400" w:firstLineChars="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DC52C5"/>
    <w:rsid w:val="0298704F"/>
    <w:rsid w:val="02DE753D"/>
    <w:rsid w:val="03304EEF"/>
    <w:rsid w:val="034D1718"/>
    <w:rsid w:val="03A26EFC"/>
    <w:rsid w:val="03B912A4"/>
    <w:rsid w:val="085971B0"/>
    <w:rsid w:val="0CD27C5E"/>
    <w:rsid w:val="0D785123"/>
    <w:rsid w:val="10820C95"/>
    <w:rsid w:val="11722973"/>
    <w:rsid w:val="127E1A68"/>
    <w:rsid w:val="12A92F62"/>
    <w:rsid w:val="12E32A0E"/>
    <w:rsid w:val="134C35F3"/>
    <w:rsid w:val="135C7100"/>
    <w:rsid w:val="14C51C29"/>
    <w:rsid w:val="15C520BB"/>
    <w:rsid w:val="1683585F"/>
    <w:rsid w:val="16917CE9"/>
    <w:rsid w:val="16A2228F"/>
    <w:rsid w:val="17336820"/>
    <w:rsid w:val="197E0361"/>
    <w:rsid w:val="19887BFC"/>
    <w:rsid w:val="1A6828DE"/>
    <w:rsid w:val="1B2548D6"/>
    <w:rsid w:val="1BD279B0"/>
    <w:rsid w:val="1EB7410B"/>
    <w:rsid w:val="1F1C09EC"/>
    <w:rsid w:val="1F4B59D5"/>
    <w:rsid w:val="1FE951CB"/>
    <w:rsid w:val="1FFB3205"/>
    <w:rsid w:val="212A1435"/>
    <w:rsid w:val="2164566E"/>
    <w:rsid w:val="2533591F"/>
    <w:rsid w:val="255E2983"/>
    <w:rsid w:val="262E54CA"/>
    <w:rsid w:val="26A97BAB"/>
    <w:rsid w:val="27D57B34"/>
    <w:rsid w:val="288F0E59"/>
    <w:rsid w:val="299D63F1"/>
    <w:rsid w:val="29AE48F0"/>
    <w:rsid w:val="2A6F679E"/>
    <w:rsid w:val="2B891C74"/>
    <w:rsid w:val="2CDB644A"/>
    <w:rsid w:val="2D894494"/>
    <w:rsid w:val="2EE55974"/>
    <w:rsid w:val="2F62078F"/>
    <w:rsid w:val="30926D90"/>
    <w:rsid w:val="31AE1454"/>
    <w:rsid w:val="31C074D5"/>
    <w:rsid w:val="32A10756"/>
    <w:rsid w:val="32D25EFC"/>
    <w:rsid w:val="32F311DD"/>
    <w:rsid w:val="32F7346F"/>
    <w:rsid w:val="3458538D"/>
    <w:rsid w:val="349D0147"/>
    <w:rsid w:val="35057069"/>
    <w:rsid w:val="357C6017"/>
    <w:rsid w:val="37463C3F"/>
    <w:rsid w:val="39B91027"/>
    <w:rsid w:val="39BA0023"/>
    <w:rsid w:val="3AA34698"/>
    <w:rsid w:val="3AE02D75"/>
    <w:rsid w:val="3B6D4A27"/>
    <w:rsid w:val="3D257166"/>
    <w:rsid w:val="3EF52F33"/>
    <w:rsid w:val="3F6F6EFF"/>
    <w:rsid w:val="3F7A5680"/>
    <w:rsid w:val="409509AF"/>
    <w:rsid w:val="41677AEF"/>
    <w:rsid w:val="416B1A7B"/>
    <w:rsid w:val="41770922"/>
    <w:rsid w:val="44684AE8"/>
    <w:rsid w:val="49B52051"/>
    <w:rsid w:val="4A18337B"/>
    <w:rsid w:val="4B3675A4"/>
    <w:rsid w:val="4CCC38CE"/>
    <w:rsid w:val="50A06C12"/>
    <w:rsid w:val="50BA20DC"/>
    <w:rsid w:val="51573339"/>
    <w:rsid w:val="51DD2754"/>
    <w:rsid w:val="55006A25"/>
    <w:rsid w:val="59A147FB"/>
    <w:rsid w:val="5A2C0695"/>
    <w:rsid w:val="5A502337"/>
    <w:rsid w:val="5AF713A5"/>
    <w:rsid w:val="5B2A5295"/>
    <w:rsid w:val="5B7D3CB2"/>
    <w:rsid w:val="5C304BB9"/>
    <w:rsid w:val="5D716766"/>
    <w:rsid w:val="5D93432F"/>
    <w:rsid w:val="5ECA45A4"/>
    <w:rsid w:val="5F376095"/>
    <w:rsid w:val="5F536DD5"/>
    <w:rsid w:val="6055026E"/>
    <w:rsid w:val="60E66E6A"/>
    <w:rsid w:val="61AB457D"/>
    <w:rsid w:val="61D01F49"/>
    <w:rsid w:val="63144D70"/>
    <w:rsid w:val="63C56F65"/>
    <w:rsid w:val="640639AB"/>
    <w:rsid w:val="64AA412B"/>
    <w:rsid w:val="65CB135E"/>
    <w:rsid w:val="66CC410E"/>
    <w:rsid w:val="66D0342B"/>
    <w:rsid w:val="67FD175C"/>
    <w:rsid w:val="68115A61"/>
    <w:rsid w:val="6861432B"/>
    <w:rsid w:val="692A039F"/>
    <w:rsid w:val="6A3C6F6F"/>
    <w:rsid w:val="6A6C0AA0"/>
    <w:rsid w:val="6C1F5F70"/>
    <w:rsid w:val="704D3B3E"/>
    <w:rsid w:val="70EA6BA4"/>
    <w:rsid w:val="749E4DB2"/>
    <w:rsid w:val="76004939"/>
    <w:rsid w:val="76027A42"/>
    <w:rsid w:val="768C06D4"/>
    <w:rsid w:val="76C03975"/>
    <w:rsid w:val="77867113"/>
    <w:rsid w:val="779C4344"/>
    <w:rsid w:val="77B62A0C"/>
    <w:rsid w:val="7A210DBE"/>
    <w:rsid w:val="7D847539"/>
    <w:rsid w:val="7E1669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toc 7"/>
    <w:basedOn w:val="1"/>
    <w:next w:val="1"/>
    <w:qFormat/>
    <w:uiPriority w:val="0"/>
    <w:pPr>
      <w:ind w:left="2520" w:leftChars="1200"/>
    </w:pPr>
  </w:style>
  <w:style w:type="paragraph" w:styleId="3">
    <w:name w:val="annotation text"/>
    <w:basedOn w:val="1"/>
    <w:qFormat/>
    <w:uiPriority w:val="0"/>
    <w:pPr>
      <w:jc w:val="left"/>
    </w:pPr>
  </w:style>
  <w:style w:type="paragraph" w:styleId="4">
    <w:name w:val="toc 5"/>
    <w:basedOn w:val="1"/>
    <w:next w:val="1"/>
    <w:qFormat/>
    <w:uiPriority w:val="0"/>
    <w:pPr>
      <w:ind w:left="1680" w:leftChars="800"/>
    </w:pPr>
  </w:style>
  <w:style w:type="paragraph" w:styleId="5">
    <w:name w:val="toc 3"/>
    <w:basedOn w:val="1"/>
    <w:next w:val="1"/>
    <w:qFormat/>
    <w:uiPriority w:val="0"/>
    <w:pPr>
      <w:ind w:left="840" w:leftChars="400"/>
    </w:pPr>
  </w:style>
  <w:style w:type="paragraph" w:styleId="6">
    <w:name w:val="toc 8"/>
    <w:basedOn w:val="1"/>
    <w:next w:val="1"/>
    <w:qFormat/>
    <w:uiPriority w:val="0"/>
    <w:pPr>
      <w:ind w:left="2940" w:leftChars="1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6"/>
    <w:basedOn w:val="1"/>
    <w:next w:val="1"/>
    <w:qFormat/>
    <w:uiPriority w:val="0"/>
    <w:pPr>
      <w:ind w:left="2100" w:leftChars="1000"/>
    </w:pPr>
  </w:style>
  <w:style w:type="paragraph" w:styleId="12">
    <w:name w:val="toc 2"/>
    <w:basedOn w:val="1"/>
    <w:next w:val="1"/>
    <w:qFormat/>
    <w:uiPriority w:val="0"/>
    <w:pPr>
      <w:ind w:left="420" w:leftChars="200"/>
    </w:pPr>
  </w:style>
  <w:style w:type="paragraph" w:styleId="13">
    <w:name w:val="toc 9"/>
    <w:basedOn w:val="1"/>
    <w:next w:val="1"/>
    <w:qFormat/>
    <w:uiPriority w:val="0"/>
    <w:pPr>
      <w:ind w:left="3360" w:leftChars="16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2016-09-21T03:30:00Z</cp:lastPrinted>
  <dcterms:modified xsi:type="dcterms:W3CDTF">2017-09-18T01:32:51Z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